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B79A311" w14:textId="77777777" w:rsidR="002D7435" w:rsidRDefault="002D7435" w:rsidP="002D7435">
      <w:pPr>
        <w:jc w:val="right"/>
        <w:rPr>
          <w:lang w:val="es-AR"/>
        </w:rPr>
      </w:pPr>
    </w:p>
    <w:p w14:paraId="09C10F6D" w14:textId="11300BC2" w:rsidR="002D7435" w:rsidRPr="002D7435" w:rsidRDefault="002D7435" w:rsidP="002D7435">
      <w:pPr>
        <w:jc w:val="right"/>
        <w:rPr>
          <w:rFonts w:ascii="Tahoma" w:hAnsi="Tahoma" w:cs="Tahoma"/>
          <w:lang w:val="es-AR"/>
        </w:rPr>
      </w:pPr>
      <w:r w:rsidRPr="002D7435">
        <w:rPr>
          <w:rFonts w:ascii="Tahoma" w:hAnsi="Tahoma" w:cs="Tahoma"/>
          <w:lang w:val="es-AR"/>
        </w:rPr>
        <w:t xml:space="preserve">Mar del Plata, </w:t>
      </w:r>
      <w:r w:rsidR="004F402D">
        <w:rPr>
          <w:rFonts w:ascii="Tahoma" w:hAnsi="Tahoma" w:cs="Tahoma"/>
          <w:lang w:val="es-AR"/>
        </w:rPr>
        <w:t>2</w:t>
      </w:r>
      <w:r w:rsidR="009A6D45">
        <w:rPr>
          <w:rFonts w:ascii="Tahoma" w:hAnsi="Tahoma" w:cs="Tahoma"/>
          <w:lang w:val="es-AR"/>
        </w:rPr>
        <w:t>7</w:t>
      </w:r>
      <w:r w:rsidR="004F402D">
        <w:rPr>
          <w:rFonts w:ascii="Tahoma" w:hAnsi="Tahoma" w:cs="Tahoma"/>
          <w:lang w:val="es-AR"/>
        </w:rPr>
        <w:t xml:space="preserve"> de octubre de 2026 </w:t>
      </w:r>
      <w:r w:rsidRPr="002D7435">
        <w:rPr>
          <w:rFonts w:ascii="Tahoma" w:hAnsi="Tahoma" w:cs="Tahoma"/>
          <w:lang w:val="es-AR"/>
        </w:rPr>
        <w:t xml:space="preserve"> </w:t>
      </w:r>
    </w:p>
    <w:p w14:paraId="4E798D88" w14:textId="77777777" w:rsidR="002D7435" w:rsidRPr="002D7435" w:rsidRDefault="002D7435" w:rsidP="002D7435">
      <w:pPr>
        <w:jc w:val="both"/>
        <w:rPr>
          <w:rFonts w:ascii="Tahoma" w:hAnsi="Tahoma" w:cs="Tahoma"/>
          <w:lang w:val="es-AR"/>
        </w:rPr>
      </w:pPr>
    </w:p>
    <w:p w14:paraId="28377871" w14:textId="77777777" w:rsidR="002D7435" w:rsidRPr="002D7435" w:rsidRDefault="002D7435" w:rsidP="002D7435">
      <w:pPr>
        <w:spacing w:line="240" w:lineRule="auto"/>
        <w:jc w:val="both"/>
        <w:rPr>
          <w:rFonts w:ascii="Tahoma" w:hAnsi="Tahoma" w:cs="Tahoma"/>
          <w:lang w:val="es-AR"/>
        </w:rPr>
      </w:pPr>
      <w:r w:rsidRPr="002D7435">
        <w:rPr>
          <w:rFonts w:ascii="Tahoma" w:hAnsi="Tahoma" w:cs="Tahoma"/>
          <w:lang w:val="es-AR"/>
        </w:rPr>
        <w:t>Sr. Presidente</w:t>
      </w:r>
    </w:p>
    <w:p w14:paraId="73145F50" w14:textId="77777777" w:rsidR="002D7435" w:rsidRPr="002D7435" w:rsidRDefault="002D7435" w:rsidP="002D7435">
      <w:pPr>
        <w:spacing w:line="240" w:lineRule="auto"/>
        <w:jc w:val="both"/>
        <w:rPr>
          <w:rFonts w:ascii="Tahoma" w:hAnsi="Tahoma" w:cs="Tahoma"/>
          <w:lang w:val="es-AR"/>
        </w:rPr>
      </w:pPr>
      <w:r w:rsidRPr="002D7435">
        <w:rPr>
          <w:rFonts w:ascii="Tahoma" w:hAnsi="Tahoma" w:cs="Tahoma"/>
          <w:lang w:val="es-AR"/>
        </w:rPr>
        <w:t xml:space="preserve">Honorable Concejo Deliberante </w:t>
      </w:r>
    </w:p>
    <w:p w14:paraId="6F997F37" w14:textId="77777777" w:rsidR="002D7435" w:rsidRPr="002D7435" w:rsidRDefault="002D7435" w:rsidP="002D7435">
      <w:pPr>
        <w:spacing w:line="240" w:lineRule="auto"/>
        <w:jc w:val="both"/>
        <w:rPr>
          <w:rFonts w:ascii="Tahoma" w:hAnsi="Tahoma" w:cs="Tahoma"/>
          <w:lang w:val="es-AR"/>
        </w:rPr>
      </w:pPr>
      <w:r w:rsidRPr="002D7435">
        <w:rPr>
          <w:rFonts w:ascii="Tahoma" w:hAnsi="Tahoma" w:cs="Tahoma"/>
          <w:lang w:val="es-AR"/>
        </w:rPr>
        <w:t>Partido de General Pueyrredon</w:t>
      </w:r>
    </w:p>
    <w:p w14:paraId="6EB24442" w14:textId="77777777" w:rsidR="002D7435" w:rsidRPr="002D7435" w:rsidRDefault="002D7435" w:rsidP="002D7435">
      <w:pPr>
        <w:spacing w:line="240" w:lineRule="auto"/>
        <w:jc w:val="both"/>
        <w:rPr>
          <w:rFonts w:ascii="Tahoma" w:hAnsi="Tahoma" w:cs="Tahoma"/>
          <w:lang w:val="es-AR"/>
        </w:rPr>
      </w:pPr>
      <w:r w:rsidRPr="002D7435">
        <w:rPr>
          <w:rFonts w:ascii="Tahoma" w:hAnsi="Tahoma" w:cs="Tahoma"/>
          <w:lang w:val="es-AR"/>
        </w:rPr>
        <w:t>S/D</w:t>
      </w:r>
    </w:p>
    <w:p w14:paraId="47F18BBE" w14:textId="77777777" w:rsidR="002D7435" w:rsidRPr="002D7435" w:rsidRDefault="002D7435" w:rsidP="002D7435">
      <w:pPr>
        <w:jc w:val="both"/>
        <w:rPr>
          <w:rFonts w:ascii="Tahoma" w:hAnsi="Tahoma" w:cs="Tahoma"/>
          <w:lang w:val="es-AR"/>
        </w:rPr>
      </w:pPr>
    </w:p>
    <w:p w14:paraId="1E8B3504" w14:textId="77777777" w:rsidR="002D7435" w:rsidRPr="002D7435" w:rsidRDefault="002D7435" w:rsidP="002D7435">
      <w:pPr>
        <w:jc w:val="both"/>
        <w:rPr>
          <w:rFonts w:ascii="Tahoma" w:hAnsi="Tahoma" w:cs="Tahoma"/>
          <w:lang w:val="es-AR"/>
        </w:rPr>
      </w:pPr>
    </w:p>
    <w:p w14:paraId="5D7D8CBB" w14:textId="77777777" w:rsidR="002D7435" w:rsidRPr="002D7435" w:rsidRDefault="002D7435" w:rsidP="002D7435">
      <w:pPr>
        <w:jc w:val="center"/>
        <w:rPr>
          <w:rFonts w:ascii="Tahoma" w:hAnsi="Tahoma" w:cs="Tahoma"/>
          <w:b/>
          <w:bCs/>
          <w:lang w:val="es-AR"/>
        </w:rPr>
      </w:pPr>
      <w:r w:rsidRPr="002D7435">
        <w:rPr>
          <w:rFonts w:ascii="Tahoma" w:hAnsi="Tahoma" w:cs="Tahoma"/>
          <w:b/>
          <w:bCs/>
          <w:lang w:val="es-AR"/>
        </w:rPr>
        <w:t>VISTO</w:t>
      </w:r>
    </w:p>
    <w:p w14:paraId="348CB734" w14:textId="77777777" w:rsidR="002D7435" w:rsidRPr="002D7435" w:rsidRDefault="002D7435" w:rsidP="002D7435">
      <w:pPr>
        <w:jc w:val="center"/>
        <w:rPr>
          <w:rFonts w:ascii="Tahoma" w:hAnsi="Tahoma" w:cs="Tahoma"/>
          <w:lang w:val="es-AR"/>
        </w:rPr>
      </w:pPr>
    </w:p>
    <w:p w14:paraId="155D147E" w14:textId="20BBE044" w:rsidR="002D7435" w:rsidRPr="002D7435" w:rsidRDefault="008C7E9C" w:rsidP="004F402D">
      <w:pPr>
        <w:spacing w:line="360" w:lineRule="auto"/>
        <w:ind w:firstLine="708"/>
        <w:jc w:val="both"/>
        <w:rPr>
          <w:rFonts w:ascii="Tahoma" w:hAnsi="Tahoma" w:cs="Tahoma"/>
          <w:lang w:val="es-AR"/>
        </w:rPr>
      </w:pPr>
      <w:r w:rsidRPr="008C7E9C">
        <w:rPr>
          <w:rFonts w:ascii="Tahoma" w:hAnsi="Tahoma" w:cs="Tahoma"/>
          <w:lang w:val="es-AR"/>
        </w:rPr>
        <w:t>La Resolución N.º 2076/2026 del Instituto Nacional de Asociativismo y Economía Social (INAES), dictada el 13 de octubre de 2026 y publicada en el Boletín Oficial de la República Argentina el 22 de octubre de 2026, mediante la cual se disponen suspensiones de autorizaciones para funcionar, intimaciones, restricciones administrativas y actuaciones sumariales respecto de cooperativas y mutuales de todo el país</w:t>
      </w:r>
      <w:r w:rsidR="00B722FB">
        <w:rPr>
          <w:rFonts w:ascii="Tahoma" w:hAnsi="Tahoma" w:cs="Tahoma"/>
          <w:lang w:val="es-AR"/>
        </w:rPr>
        <w:t>,</w:t>
      </w:r>
      <w:r w:rsidRPr="008C7E9C">
        <w:rPr>
          <w:rFonts w:ascii="Tahoma" w:hAnsi="Tahoma" w:cs="Tahoma"/>
          <w:lang w:val="es-AR"/>
        </w:rPr>
        <w:t xml:space="preserve"> las Leyes Nacionales N.º 20.337, 20.321 y 23.427</w:t>
      </w:r>
      <w:r w:rsidR="004F402D">
        <w:rPr>
          <w:rFonts w:ascii="Tahoma" w:hAnsi="Tahoma" w:cs="Tahoma"/>
          <w:lang w:val="es-AR"/>
        </w:rPr>
        <w:t>,</w:t>
      </w:r>
      <w:r w:rsidRPr="008C7E9C">
        <w:rPr>
          <w:rFonts w:ascii="Tahoma" w:hAnsi="Tahoma" w:cs="Tahoma"/>
          <w:lang w:val="es-AR"/>
        </w:rPr>
        <w:t xml:space="preserve"> y</w:t>
      </w:r>
    </w:p>
    <w:p w14:paraId="2EE7EE01" w14:textId="77777777" w:rsidR="002D7435" w:rsidRPr="002D7435" w:rsidRDefault="002D7435" w:rsidP="002D7435">
      <w:pPr>
        <w:jc w:val="center"/>
        <w:rPr>
          <w:rFonts w:ascii="Tahoma" w:hAnsi="Tahoma" w:cs="Tahoma"/>
          <w:lang w:val="es-AR"/>
        </w:rPr>
      </w:pPr>
    </w:p>
    <w:p w14:paraId="12A27A1A" w14:textId="77777777" w:rsidR="002D7435" w:rsidRPr="002D7435" w:rsidRDefault="002D7435" w:rsidP="002D7435">
      <w:pPr>
        <w:jc w:val="center"/>
        <w:rPr>
          <w:rFonts w:ascii="Tahoma" w:hAnsi="Tahoma" w:cs="Tahoma"/>
          <w:lang w:val="es-AR"/>
        </w:rPr>
      </w:pPr>
    </w:p>
    <w:p w14:paraId="7E32F3D6" w14:textId="77777777" w:rsidR="002D7435" w:rsidRPr="002D7435" w:rsidRDefault="002D7435" w:rsidP="002D7435">
      <w:pPr>
        <w:jc w:val="center"/>
        <w:rPr>
          <w:rFonts w:ascii="Tahoma" w:hAnsi="Tahoma" w:cs="Tahoma"/>
          <w:b/>
          <w:bCs/>
          <w:lang w:val="es-AR"/>
        </w:rPr>
      </w:pPr>
      <w:r w:rsidRPr="002D7435">
        <w:rPr>
          <w:rFonts w:ascii="Tahoma" w:hAnsi="Tahoma" w:cs="Tahoma"/>
          <w:b/>
          <w:bCs/>
          <w:lang w:val="es-AR"/>
        </w:rPr>
        <w:t>CONSIDERANDO</w:t>
      </w:r>
    </w:p>
    <w:p w14:paraId="08BC0BFA" w14:textId="4AA23B99"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el cooperativismo y el mutualismo constituyen expresiones históricas de la organización económica, productiva y social de la República Argentina, fundadas en los principios de solidaridad, ayuda mutua, gestión democrática, participación colectiva y compromiso con la comunidad.</w:t>
      </w:r>
    </w:p>
    <w:p w14:paraId="52BE80E0" w14:textId="4CD52DE1"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desde fines del siglo XIX estas organizaciones han contribuido al desarrollo nacional, particularmente en aquellas localidades y sectores donde la acción colectiva permitió resolver necesidades que no encontraban respuestas suficientes en el mercado o en las instituciones estatales.</w:t>
      </w:r>
    </w:p>
    <w:p w14:paraId="7D956FBD" w14:textId="294DEDA7"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lastRenderedPageBreak/>
        <w:t>Que la historia del cooperativismo argentino se encuentra estrechamente vinculada con la producción agropecuaria, la comercialización, el consumo, la industria, la provisión de servicios públicos, la vivienda, el crédito, el trabajo y las economías regionales, mientras que el mutualismo ha desarrollado una extensa trayectoria en materia de protección social, salud, educación, asistencia, previsión y servicios comunitarios.</w:t>
      </w:r>
    </w:p>
    <w:p w14:paraId="5B758C14" w14:textId="2DA2DC23"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estas entidades constituyen organizaciones económicas con capacidad de producir bienes, prestar servicios, generar empleo, movilizar recursos y reinvertir excedentes en beneficio de sus asociados y de las comunidades en las que desarrollan sus actividades.</w:t>
      </w:r>
    </w:p>
    <w:p w14:paraId="5A194BA7" w14:textId="5BE3F498"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a diferencia de otras formas de organización empresarial, las cooperativas se caracterizan por la gestión democrática y la participación de sus asociados en las decisiones institucionales, constituyendo una modalidad de organización económica donde el capital se encuentra subordinado a las necesidades y decisiones colectivas.</w:t>
      </w:r>
    </w:p>
    <w:p w14:paraId="7ACCFCD0" w14:textId="532B48CE"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el movimiento cooperativo y mutual argentino representa una dimensión sustantiva de la actividad económica nacional, tanto por la cantidad de personas vinculadas a sus organizaciones como por su participación en la generación de empleo, la producción y la prestación de servicios esenciales.</w:t>
      </w:r>
    </w:p>
    <w:p w14:paraId="4B09293B" w14:textId="3E94DBA8" w:rsidR="008C7E9C" w:rsidRPr="00F53E3B" w:rsidRDefault="008C7E9C" w:rsidP="00F53E3B">
      <w:pPr>
        <w:spacing w:line="360" w:lineRule="auto"/>
        <w:ind w:firstLine="709"/>
        <w:jc w:val="both"/>
        <w:rPr>
          <w:rFonts w:ascii="Tahoma" w:hAnsi="Tahoma" w:cs="Tahoma"/>
          <w:color w:val="000000" w:themeColor="text1"/>
          <w:lang w:val="es-AR"/>
        </w:rPr>
      </w:pPr>
      <w:r w:rsidRPr="00F53E3B">
        <w:rPr>
          <w:rFonts w:ascii="Tahoma" w:hAnsi="Tahoma" w:cs="Tahoma"/>
          <w:color w:val="000000" w:themeColor="text1"/>
          <w:lang w:val="es-AR"/>
        </w:rPr>
        <w:t>Que la Memoria detallada del Estado de la Nación correspondiente al año 2025 consigna la recepción de información estadística de 19.963.649 registros de asociados a cooperativas y mutuales, indicador de la significativa extensión de estas organizaciones en el entramado social argentino.</w:t>
      </w:r>
    </w:p>
    <w:p w14:paraId="70D9D466" w14:textId="6FBB872F" w:rsidR="008C7E9C" w:rsidRPr="00F53E3B" w:rsidRDefault="008C7E9C" w:rsidP="00F53E3B">
      <w:pPr>
        <w:spacing w:line="360" w:lineRule="auto"/>
        <w:ind w:firstLine="709"/>
        <w:jc w:val="both"/>
        <w:rPr>
          <w:rFonts w:ascii="Tahoma" w:hAnsi="Tahoma" w:cs="Tahoma"/>
          <w:color w:val="EE0000"/>
          <w:lang w:val="es-AR"/>
        </w:rPr>
      </w:pPr>
      <w:r w:rsidRPr="00F53E3B">
        <w:rPr>
          <w:rFonts w:ascii="Tahoma" w:hAnsi="Tahoma" w:cs="Tahoma"/>
          <w:color w:val="000000" w:themeColor="text1"/>
          <w:lang w:val="es-AR"/>
        </w:rPr>
        <w:t>Que, asimismo, estimaciones sectoriales difundidas en octubre de 2026 por un integrante del Directorio del INAES sitúan en aproximadamente 500.000 los puestos de trabajo directos e indirectos vinculados con la economía social, lo que permite advertir las consecuencias laborales y productivas que pueden derivarse de decisiones administrativas que afecten su funcionamiento</w:t>
      </w:r>
      <w:r w:rsidRPr="00C6770A">
        <w:rPr>
          <w:rFonts w:ascii="Tahoma" w:hAnsi="Tahoma" w:cs="Tahoma"/>
          <w:color w:val="EE0000"/>
          <w:lang w:val="es-AR"/>
        </w:rPr>
        <w:t>.</w:t>
      </w:r>
    </w:p>
    <w:p w14:paraId="3CB3B1B2" w14:textId="083DF709"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las cooperativas de trabajo tienen una importancia particular en la generación y sostenimiento de fuentes laborales, en la recuperación de capacidades productivas y en la construcción de alternativas organizativas para trabajadores y trabajadoras.</w:t>
      </w:r>
    </w:p>
    <w:p w14:paraId="38B846D0" w14:textId="4C3AC98B"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lastRenderedPageBreak/>
        <w:t>Que las cooperativas de servicios públicos han desempeñado un papel decisivo en la expansión territorial del acceso a la electricidad, el agua, las telecomunicaciones y otros servicios, especialmente en ciudades pequeñas, localidades rurales y comunidades donde el desarrollo de esas prestaciones requirió del esfuerzo organizado de sus habitantes.</w:t>
      </w:r>
    </w:p>
    <w:p w14:paraId="4DC56FAA" w14:textId="0652B8F5"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las cooperativas agropecuarias y de comercialización permiten que pequeños y medianos productores integren capacidades, accedan a mercados, mejoren sus condiciones de producción y agreguen valor en origen, favoreciendo el desarrollo de las economías regionales.</w:t>
      </w:r>
    </w:p>
    <w:p w14:paraId="4B8A1691" w14:textId="17559795" w:rsidR="008C7E9C" w:rsidRPr="008C7E9C" w:rsidRDefault="008C7E9C" w:rsidP="00DC5E08">
      <w:pPr>
        <w:spacing w:line="360" w:lineRule="auto"/>
        <w:ind w:firstLine="709"/>
        <w:jc w:val="both"/>
        <w:rPr>
          <w:rFonts w:ascii="Tahoma" w:hAnsi="Tahoma" w:cs="Tahoma"/>
          <w:lang w:val="es-AR"/>
        </w:rPr>
      </w:pPr>
      <w:r w:rsidRPr="008C7E9C">
        <w:rPr>
          <w:rFonts w:ascii="Tahoma" w:hAnsi="Tahoma" w:cs="Tahoma"/>
          <w:lang w:val="es-AR"/>
        </w:rPr>
        <w:t>Que las mutuales y cooperativas vinculadas con la salud, la educación, la protección social, el crédito y el consumo contribuyen a ampliar el acceso a prestaciones fundamentales y a fortalecer redes de protección colectiva.</w:t>
      </w:r>
    </w:p>
    <w:p w14:paraId="42B975FD" w14:textId="2E8E5237"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 xml:space="preserve">Que el cooperativismo y el mutualismo cumplen, además, una función social que excede sus resultados económicos, por cuanto </w:t>
      </w:r>
      <w:r w:rsidR="00F53E3B" w:rsidRPr="008C7E9C">
        <w:rPr>
          <w:rFonts w:ascii="Tahoma" w:hAnsi="Tahoma" w:cs="Tahoma"/>
          <w:lang w:val="es-AR"/>
        </w:rPr>
        <w:t>promueve</w:t>
      </w:r>
      <w:r w:rsidRPr="008C7E9C">
        <w:rPr>
          <w:rFonts w:ascii="Tahoma" w:hAnsi="Tahoma" w:cs="Tahoma"/>
          <w:lang w:val="es-AR"/>
        </w:rPr>
        <w:t xml:space="preserve"> la participación, la formación democrática, la cooperación entre instituciones y la construcción de vínculos de confianza y pertenencia comunitaria.</w:t>
      </w:r>
    </w:p>
    <w:p w14:paraId="20EEBB63" w14:textId="24F4DF33"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la Organización Internacional del Trabajo, mediante su Recomendación N.º 193 sobre la promoción de las cooperativas, reconoce su contribución a la creación de empleo, la generación de ingresos y el desarrollo económico y social, e insta a los Estados a establecer políticas públicas favorables para su fortalecimiento.</w:t>
      </w:r>
    </w:p>
    <w:p w14:paraId="2ECB6C7F" w14:textId="61236B7C"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la Ley Nacional N.º 23.427, al crear el Fondo para Educación y Promoción Cooperativa, estableció entre sus finalidades la promoción de la educación cooperativa y el desarrollo de estas organizaciones en las distintas actividades económicas, reconociendo expresamente su interés para el desarrollo nacional.</w:t>
      </w:r>
    </w:p>
    <w:p w14:paraId="2D510EA8" w14:textId="26DF6A96"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en consecuencia, el Estado nacional no posee únicamente responsabilidades de autorización, registro y fiscalización, sino también funciones de promoción, capacitación, asistencia y desarrollo del sector, conforme al régimen jurídico que regula la actuación del INAES.</w:t>
      </w:r>
    </w:p>
    <w:p w14:paraId="78ABE1E6" w14:textId="6408BD9A"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la Resolución N.º 2076/2026 dispone la suspensión de la autorización para funcionar respecto de entidades incluidas en sus Anexos I a VI por incumplimientos documentales, así como intimaciones y restricciones administrativas para otras entidades comprendidas en sus disposiciones.</w:t>
      </w:r>
    </w:p>
    <w:p w14:paraId="09C3EC92" w14:textId="3E5EB73B"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lastRenderedPageBreak/>
        <w:t>Que la medida fundamenta su intervención en la ausencia de presentación de documentación asamblearia y estados contables, cuya importancia institucional no se desconoce, toda vez que la transparencia, la participación de los asociados y la rendición de cuentas forman parte de los principios que deben regir a estas organizaciones.</w:t>
      </w:r>
    </w:p>
    <w:p w14:paraId="7C233059" w14:textId="52A816B1"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sin embargo, la necesaria fiscalización pública debe desarrollarse mediante procedimientos razonables, proporcionales e individualizados, contemplando la situación efectiva de las entidades, su trayectoria, su antigüedad, la naturaleza de los incumplimientos observados y las posibilidades reales de subsanación.</w:t>
      </w:r>
    </w:p>
    <w:p w14:paraId="03C14205" w14:textId="6D02B633" w:rsidR="002D7435" w:rsidRDefault="008C7E9C" w:rsidP="00F53E3B">
      <w:pPr>
        <w:spacing w:line="360" w:lineRule="auto"/>
        <w:ind w:firstLine="709"/>
        <w:jc w:val="both"/>
        <w:rPr>
          <w:rFonts w:ascii="Tahoma" w:hAnsi="Tahoma" w:cs="Tahoma"/>
          <w:lang w:val="es-AR"/>
        </w:rPr>
      </w:pPr>
      <w:r w:rsidRPr="008C7E9C">
        <w:rPr>
          <w:rFonts w:ascii="Tahoma" w:hAnsi="Tahoma" w:cs="Tahoma"/>
          <w:lang w:val="es-AR"/>
        </w:rPr>
        <w:t>Que corresponde distinguir entre la ausencia de documentación, la inexistencia de actividad institucional y las dificultades administrativas que pueden enfrentar organizaciones de pequeña escala, entidades recientemente constituidas o cooperativas y mutuales que requieren asistencia técnica para regularizar sus obligaciones.</w:t>
      </w:r>
    </w:p>
    <w:p w14:paraId="74E9ABAE" w14:textId="49A4DA36" w:rsidR="008C7E9C" w:rsidRPr="008C7E9C" w:rsidRDefault="008C7E9C" w:rsidP="00DC5E08">
      <w:pPr>
        <w:spacing w:line="360" w:lineRule="auto"/>
        <w:ind w:firstLine="709"/>
        <w:jc w:val="both"/>
        <w:rPr>
          <w:rFonts w:ascii="Tahoma" w:hAnsi="Tahoma" w:cs="Tahoma"/>
          <w:lang w:val="es-AR"/>
        </w:rPr>
      </w:pPr>
      <w:r w:rsidRPr="008C7E9C">
        <w:rPr>
          <w:rFonts w:ascii="Tahoma" w:hAnsi="Tahoma" w:cs="Tahoma"/>
          <w:lang w:val="es-AR"/>
        </w:rPr>
        <w:t>Que la aplicación de restricciones administrativas de alcance general, sin una adecuada evaluación de las circunstancias particulares de las entidades comprendidas, puede ocasionar consecuencias que trascienden la situación registral y afectan actividades productivas, puestos de trabajo, prestaciones sociales y servicios comunitarios.</w:t>
      </w:r>
    </w:p>
    <w:p w14:paraId="293899DC" w14:textId="157B705A"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la propia resolución establece tratamientos diferenciados para determinadas mutuales constituidas por colectividades y cooperativas prestadoras de servicios públicos, contemplando mecanismos de relevamiento y eventual regularización, lo que evidencia la necesidad de considerar el impacto institucional y comunitario de las medidas adoptadas.</w:t>
      </w:r>
    </w:p>
    <w:p w14:paraId="12741875" w14:textId="3B91DD53"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este criterio de evaluación, asistencia y regularización debe extenderse mediante procedimientos adecuados a las restantes entidades, atendiendo a sus características y a las consecuencias sociales y económicas de una eventual suspensión.</w:t>
      </w:r>
    </w:p>
    <w:p w14:paraId="0FD11333" w14:textId="65E48E92" w:rsidR="008C7E9C" w:rsidRPr="00F53E3B" w:rsidRDefault="008C7E9C" w:rsidP="00F53E3B">
      <w:pPr>
        <w:spacing w:line="360" w:lineRule="auto"/>
        <w:ind w:firstLine="709"/>
        <w:jc w:val="both"/>
        <w:rPr>
          <w:rFonts w:ascii="Tahoma" w:hAnsi="Tahoma" w:cs="Tahoma"/>
          <w:color w:val="EE0000"/>
          <w:lang w:val="es-AR"/>
        </w:rPr>
      </w:pPr>
      <w:r w:rsidRPr="00F53E3B">
        <w:rPr>
          <w:rFonts w:ascii="Tahoma" w:hAnsi="Tahoma" w:cs="Tahoma"/>
          <w:color w:val="000000" w:themeColor="text1"/>
          <w:lang w:val="es-AR"/>
        </w:rPr>
        <w:t>Que, según el relevamiento difundido por representantes del sector asociativo, en el Partido de General Pueyrredon se encontrarían alcanzadas 133 cooperativas y 15 mutuales, una dimensión que requiere especial atención por su potencial impacto en el entramado económico y social local</w:t>
      </w:r>
      <w:r w:rsidRPr="00C6770A">
        <w:rPr>
          <w:rFonts w:ascii="Tahoma" w:hAnsi="Tahoma" w:cs="Tahoma"/>
          <w:color w:val="EE0000"/>
          <w:lang w:val="es-AR"/>
        </w:rPr>
        <w:t>.</w:t>
      </w:r>
    </w:p>
    <w:p w14:paraId="6AD50DD7" w14:textId="0C3E5394"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 xml:space="preserve">Que General Pueyrredon cuenta con una extensa tradición de organización cooperativa y mutual, expresada en experiencias vinculadas con el trabajo, la producción, el consumo, la vivienda, </w:t>
      </w:r>
      <w:r w:rsidRPr="008C7E9C">
        <w:rPr>
          <w:rFonts w:ascii="Tahoma" w:hAnsi="Tahoma" w:cs="Tahoma"/>
          <w:lang w:val="es-AR"/>
        </w:rPr>
        <w:lastRenderedPageBreak/>
        <w:t>la cultura, los servicios, la recuperación de materiales y numerosas iniciativas de desarrollo comunitario.</w:t>
      </w:r>
    </w:p>
    <w:p w14:paraId="0FE43361" w14:textId="4E1914C1"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estas organizaciones constituyen parte del entramado productivo y social de Mar del Plata y Batán, contribuyendo al sostenimiento del empleo, la circulación de recursos en la economía local y la construcción de respuestas colectivas frente a necesidades compartidas.</w:t>
      </w:r>
    </w:p>
    <w:p w14:paraId="02601748" w14:textId="333E0E99"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resulta particularmente necesario revisar la situación de las entidades de reciente matriculación incluidas en los anexos, verificando la fecha de constitución, el cierre de sus ejercicios económicos y la efectiva exigibilidad de las obligaciones cuyo supuesto incumplimiento motiva la intimación.</w:t>
      </w:r>
    </w:p>
    <w:p w14:paraId="67A86503" w14:textId="6EC2DF4B"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la exigencia de obligaciones correspondientes a ejercicios económicos todavía no concluidos, de verificarse en casos concretos, resultaría incompatible con criterios elementales de razonabilidad administrativa.</w:t>
      </w:r>
    </w:p>
    <w:p w14:paraId="7EFD611B" w14:textId="44FD26AC"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la defensa de la legalidad y la transparencia institucional no debe confundirse con la imposición de obstáculos que, por sus efectos, puedan debilitar organizaciones que desarrollan actividades económicas y sociales de interés comunitario.</w:t>
      </w:r>
    </w:p>
    <w:p w14:paraId="199DEBFB" w14:textId="3EC17A03"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las funciones de contralor estatal deben orientarse a garantizar el cumplimiento normativo y, siempre que corresponda, facilitar la continuidad y regularización de las entidades, evitando que las dificultades administrativas se conviertan en obstáculos desproporcionados para su funcionamiento.</w:t>
      </w:r>
    </w:p>
    <w:p w14:paraId="7FD4B504" w14:textId="0E0652CF"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asimismo resulta necesario garantizar el cumplimiento de los mecanismos legales de financiamiento y distribución de los recursos destinados a la educación, promoción y fortalecimiento cooperativo, incluyendo los establecidos por la Ley Nacional N.º 23.427.</w:t>
      </w:r>
    </w:p>
    <w:p w14:paraId="5ED94738" w14:textId="1E3155F0" w:rsid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las organizaciones cooperativas y mutuales requieren políticas públicas que reconozcan sus especificidades, fortalezcan sus capacidades institucionales y permitan desarrollar su potencial económico, laboral y social.</w:t>
      </w:r>
    </w:p>
    <w:p w14:paraId="25D1E833" w14:textId="0DDE99D0"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el desarrollo de una ciudad no depende exclusivamente de las inversiones públicas o privadas tradicionales, sino también de la capacidad de sus habitantes para asociarse, producir, trabajar y construir soluciones colectivas.</w:t>
      </w:r>
    </w:p>
    <w:p w14:paraId="3C3B6E22" w14:textId="2FBF69C6" w:rsidR="008C7E9C" w:rsidRP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lastRenderedPageBreak/>
        <w:t>Que proteger el cooperativismo y el mutualismo implica defender puestos de trabajo, capacidades productivas, servicios y formas democráticas de organización social que forman parte del patrimonio institucional de la comunidad.</w:t>
      </w:r>
    </w:p>
    <w:p w14:paraId="4286B3AB" w14:textId="4EFCEF3C" w:rsidR="008C7E9C" w:rsidRDefault="008C7E9C" w:rsidP="00F53E3B">
      <w:pPr>
        <w:spacing w:line="360" w:lineRule="auto"/>
        <w:ind w:firstLine="709"/>
        <w:jc w:val="both"/>
        <w:rPr>
          <w:rFonts w:ascii="Tahoma" w:hAnsi="Tahoma" w:cs="Tahoma"/>
          <w:lang w:val="es-AR"/>
        </w:rPr>
      </w:pPr>
      <w:r w:rsidRPr="008C7E9C">
        <w:rPr>
          <w:rFonts w:ascii="Tahoma" w:hAnsi="Tahoma" w:cs="Tahoma"/>
          <w:lang w:val="es-AR"/>
        </w:rPr>
        <w:t>Que, por todo lo expuesto, corresponde expresar la preocupación institucional del Honorable Concejo Deliberante del Partido de General Pueyrredon y requerir la revisión de las disposiciones de la Resolución N.º 2076/2026 que puedan comprometer injustificadamente la continuidad de las cooperativas y mutuales alcanzadas.</w:t>
      </w:r>
    </w:p>
    <w:p w14:paraId="62F03460" w14:textId="77777777" w:rsidR="008C7E9C" w:rsidRPr="008C7E9C" w:rsidRDefault="008C7E9C" w:rsidP="008C7E9C">
      <w:pPr>
        <w:jc w:val="both"/>
        <w:rPr>
          <w:rFonts w:ascii="Tahoma" w:hAnsi="Tahoma" w:cs="Tahoma"/>
          <w:lang w:val="es-AR"/>
        </w:rPr>
      </w:pPr>
    </w:p>
    <w:p w14:paraId="280E753D" w14:textId="77777777" w:rsidR="002D7435" w:rsidRPr="002D7435" w:rsidRDefault="002D7435" w:rsidP="00F53E3B">
      <w:pPr>
        <w:spacing w:line="360" w:lineRule="auto"/>
        <w:ind w:firstLine="708"/>
        <w:jc w:val="both"/>
        <w:rPr>
          <w:rFonts w:ascii="Tahoma" w:hAnsi="Tahoma" w:cs="Tahoma"/>
          <w:lang w:val="es-AR"/>
        </w:rPr>
      </w:pPr>
      <w:r w:rsidRPr="002D7435">
        <w:rPr>
          <w:rFonts w:ascii="Tahoma" w:hAnsi="Tahoma" w:cs="Tahoma"/>
          <w:lang w:val="es-AR"/>
        </w:rPr>
        <w:t xml:space="preserve">Por todo lo expuesto, el bloque de concejales de </w:t>
      </w:r>
      <w:r w:rsidRPr="00C6770A">
        <w:rPr>
          <w:rFonts w:ascii="Tahoma" w:hAnsi="Tahoma" w:cs="Tahoma"/>
          <w:i/>
          <w:iCs/>
          <w:lang w:val="es-AR"/>
        </w:rPr>
        <w:t>Acción Marplatense / Movimiento Derecho al Futuro</w:t>
      </w:r>
      <w:r w:rsidRPr="002D7435">
        <w:rPr>
          <w:rFonts w:ascii="Tahoma" w:hAnsi="Tahoma" w:cs="Tahoma"/>
          <w:lang w:val="es-AR"/>
        </w:rPr>
        <w:t xml:space="preserve"> eleva para su tratamiento el siguiente proyecto de </w:t>
      </w:r>
    </w:p>
    <w:p w14:paraId="4DB45A35" w14:textId="77777777" w:rsidR="002D7435" w:rsidRPr="002D7435" w:rsidRDefault="002D7435" w:rsidP="002D7435">
      <w:pPr>
        <w:jc w:val="both"/>
        <w:rPr>
          <w:rFonts w:ascii="Tahoma" w:hAnsi="Tahoma" w:cs="Tahoma"/>
          <w:b/>
          <w:bCs/>
          <w:lang w:val="es-AR"/>
        </w:rPr>
      </w:pPr>
    </w:p>
    <w:p w14:paraId="1AF5942C" w14:textId="77777777" w:rsidR="002D7435" w:rsidRPr="002D7435" w:rsidRDefault="002D7435" w:rsidP="002D7435">
      <w:pPr>
        <w:jc w:val="both"/>
        <w:rPr>
          <w:rFonts w:ascii="Tahoma" w:hAnsi="Tahoma" w:cs="Tahoma"/>
          <w:b/>
          <w:bCs/>
          <w:lang w:val="es-AR"/>
        </w:rPr>
      </w:pPr>
    </w:p>
    <w:p w14:paraId="5A422B8F" w14:textId="5872B0C7" w:rsidR="002D7435" w:rsidRPr="002D7435" w:rsidRDefault="002D7435" w:rsidP="002D7435">
      <w:pPr>
        <w:jc w:val="center"/>
        <w:rPr>
          <w:rFonts w:ascii="Tahoma" w:hAnsi="Tahoma" w:cs="Tahoma"/>
          <w:b/>
          <w:bCs/>
          <w:u w:val="single"/>
          <w:lang w:val="es-AR"/>
        </w:rPr>
      </w:pPr>
      <w:r w:rsidRPr="002D7435">
        <w:rPr>
          <w:rFonts w:ascii="Tahoma" w:hAnsi="Tahoma" w:cs="Tahoma"/>
          <w:b/>
          <w:bCs/>
          <w:u w:val="single"/>
          <w:lang w:val="es-AR"/>
        </w:rPr>
        <w:t>RESOLUCIÓN</w:t>
      </w:r>
      <w:r w:rsidR="00FE2FF1">
        <w:rPr>
          <w:rFonts w:ascii="Tahoma" w:hAnsi="Tahoma" w:cs="Tahoma"/>
          <w:b/>
          <w:bCs/>
          <w:u w:val="single"/>
          <w:lang w:val="es-AR"/>
        </w:rPr>
        <w:t xml:space="preserve"> </w:t>
      </w:r>
    </w:p>
    <w:p w14:paraId="378DE30B" w14:textId="77777777" w:rsidR="002D7435" w:rsidRPr="002D7435" w:rsidRDefault="002D7435" w:rsidP="002D7435">
      <w:pPr>
        <w:jc w:val="both"/>
        <w:rPr>
          <w:rFonts w:ascii="Tahoma" w:hAnsi="Tahoma" w:cs="Tahoma"/>
          <w:b/>
          <w:bCs/>
          <w:lang w:val="es-AR"/>
        </w:rPr>
      </w:pPr>
    </w:p>
    <w:p w14:paraId="63AD474B" w14:textId="0AF2AA9A" w:rsidR="008C7E9C" w:rsidRPr="008C7E9C" w:rsidRDefault="002D7435" w:rsidP="00F53E3B">
      <w:pPr>
        <w:spacing w:line="360" w:lineRule="auto"/>
        <w:jc w:val="both"/>
        <w:rPr>
          <w:rFonts w:ascii="Tahoma" w:hAnsi="Tahoma" w:cs="Tahoma"/>
          <w:lang w:val="es-AR"/>
        </w:rPr>
      </w:pPr>
      <w:r w:rsidRPr="002D7435">
        <w:rPr>
          <w:rFonts w:ascii="Tahoma" w:hAnsi="Tahoma" w:cs="Tahoma"/>
          <w:b/>
          <w:bCs/>
          <w:lang w:val="es-AR"/>
        </w:rPr>
        <w:tab/>
      </w:r>
      <w:bookmarkStart w:id="0" w:name="_Hlk243907112"/>
      <w:r w:rsidRPr="002D7435">
        <w:rPr>
          <w:rFonts w:ascii="Tahoma" w:hAnsi="Tahoma" w:cs="Tahoma"/>
          <w:b/>
          <w:bCs/>
          <w:u w:val="single"/>
          <w:lang w:val="es-AR"/>
        </w:rPr>
        <w:t>Artículo 1º</w:t>
      </w:r>
      <w:r w:rsidRPr="002D7435">
        <w:rPr>
          <w:rFonts w:ascii="Tahoma" w:hAnsi="Tahoma" w:cs="Tahoma"/>
          <w:b/>
          <w:bCs/>
          <w:lang w:val="es-AR"/>
        </w:rPr>
        <w:t xml:space="preserve">: </w:t>
      </w:r>
      <w:bookmarkEnd w:id="0"/>
      <w:r w:rsidRPr="002D7435">
        <w:rPr>
          <w:rFonts w:ascii="Tahoma" w:hAnsi="Tahoma" w:cs="Tahoma"/>
          <w:lang w:val="es-AR"/>
        </w:rPr>
        <w:t>El Concejo Deliberante del Partido de General Pueyrredon</w:t>
      </w:r>
      <w:r w:rsidR="00AB5304">
        <w:rPr>
          <w:rFonts w:ascii="Tahoma" w:hAnsi="Tahoma" w:cs="Tahoma"/>
          <w:lang w:val="es-AR"/>
        </w:rPr>
        <w:t xml:space="preserve"> e</w:t>
      </w:r>
      <w:r w:rsidR="008C7E9C" w:rsidRPr="008C7E9C">
        <w:rPr>
          <w:rFonts w:ascii="Tahoma" w:hAnsi="Tahoma" w:cs="Tahoma"/>
          <w:lang w:val="es-AR"/>
        </w:rPr>
        <w:t>xpresa</w:t>
      </w:r>
      <w:r w:rsidR="00F53E3B">
        <w:rPr>
          <w:rFonts w:ascii="Tahoma" w:hAnsi="Tahoma" w:cs="Tahoma"/>
          <w:lang w:val="es-AR"/>
        </w:rPr>
        <w:t xml:space="preserve"> </w:t>
      </w:r>
      <w:r w:rsidR="008C7E9C" w:rsidRPr="008C7E9C">
        <w:rPr>
          <w:rFonts w:ascii="Tahoma" w:hAnsi="Tahoma" w:cs="Tahoma"/>
          <w:lang w:val="es-AR"/>
        </w:rPr>
        <w:t>su rechazo a los alcances restrictivos y sancionatorios de la Resolución N.º 2076/2026 del Instituto Nacional de Asociativismo y Economía Social (INAES), en cuanto puedan afectar de manera desproporcionada el funcionamiento y la continuidad de cooperativas y mutuales, con consecuencias sobre el trabajo, la producción y la prestación de servicios comunitarios.</w:t>
      </w:r>
    </w:p>
    <w:p w14:paraId="0994EE87" w14:textId="77777777" w:rsidR="008C7E9C" w:rsidRPr="008C7E9C" w:rsidRDefault="008C7E9C" w:rsidP="00F53E3B">
      <w:pPr>
        <w:spacing w:line="360" w:lineRule="auto"/>
        <w:jc w:val="both"/>
        <w:rPr>
          <w:rFonts w:ascii="Tahoma" w:hAnsi="Tahoma" w:cs="Tahoma"/>
          <w:lang w:val="es-AR"/>
        </w:rPr>
      </w:pPr>
    </w:p>
    <w:p w14:paraId="318F6232" w14:textId="49A829D8" w:rsidR="008C7E9C" w:rsidRPr="008C7E9C" w:rsidRDefault="00AB5304" w:rsidP="00F53E3B">
      <w:pPr>
        <w:spacing w:line="360" w:lineRule="auto"/>
        <w:ind w:firstLine="708"/>
        <w:jc w:val="both"/>
        <w:rPr>
          <w:rFonts w:ascii="Tahoma" w:hAnsi="Tahoma" w:cs="Tahoma"/>
          <w:lang w:val="es-AR"/>
        </w:rPr>
      </w:pPr>
      <w:r w:rsidRPr="00AB5304">
        <w:rPr>
          <w:rFonts w:ascii="Tahoma" w:hAnsi="Tahoma" w:cs="Tahoma"/>
          <w:b/>
          <w:bCs/>
          <w:u w:val="single"/>
          <w:lang w:val="es-AR"/>
        </w:rPr>
        <w:t xml:space="preserve">Artículo </w:t>
      </w:r>
      <w:r>
        <w:rPr>
          <w:rFonts w:ascii="Tahoma" w:hAnsi="Tahoma" w:cs="Tahoma"/>
          <w:b/>
          <w:bCs/>
          <w:u w:val="single"/>
          <w:lang w:val="es-AR"/>
        </w:rPr>
        <w:t>2</w:t>
      </w:r>
      <w:r w:rsidRPr="00AB5304">
        <w:rPr>
          <w:rFonts w:ascii="Tahoma" w:hAnsi="Tahoma" w:cs="Tahoma"/>
          <w:b/>
          <w:bCs/>
          <w:u w:val="single"/>
          <w:lang w:val="es-AR"/>
        </w:rPr>
        <w:t>º</w:t>
      </w:r>
      <w:r w:rsidRPr="00AB5304">
        <w:rPr>
          <w:rFonts w:ascii="Tahoma" w:hAnsi="Tahoma" w:cs="Tahoma"/>
          <w:b/>
          <w:bCs/>
          <w:lang w:val="es-AR"/>
        </w:rPr>
        <w:t>:</w:t>
      </w:r>
      <w:r w:rsidR="008C7E9C" w:rsidRPr="008C7E9C">
        <w:rPr>
          <w:rFonts w:ascii="Tahoma" w:hAnsi="Tahoma" w:cs="Tahoma"/>
          <w:lang w:val="es-AR"/>
        </w:rPr>
        <w:t xml:space="preserve"> </w:t>
      </w:r>
      <w:r>
        <w:rPr>
          <w:rFonts w:ascii="Tahoma" w:hAnsi="Tahoma" w:cs="Tahoma"/>
          <w:lang w:val="es-AR"/>
        </w:rPr>
        <w:t>Solicítese</w:t>
      </w:r>
      <w:r w:rsidR="008C7E9C" w:rsidRPr="008C7E9C">
        <w:rPr>
          <w:rFonts w:ascii="Tahoma" w:hAnsi="Tahoma" w:cs="Tahoma"/>
          <w:lang w:val="es-AR"/>
        </w:rPr>
        <w:t xml:space="preserve"> al Instituto Nacional de Asociativismo y Economía Social la revisión de las suspensiones, intimaciones y restricciones administrativas dispuestas, garantizando una evaluación individualizada, procedimientos de regularización accesibles, asistencia técnica y el debido resguardo de las garantías administrativas de las entidades alcanzadas.</w:t>
      </w:r>
    </w:p>
    <w:p w14:paraId="64B6F7FF" w14:textId="77777777" w:rsidR="008C7E9C" w:rsidRPr="008C7E9C" w:rsidRDefault="008C7E9C" w:rsidP="00F53E3B">
      <w:pPr>
        <w:spacing w:line="360" w:lineRule="auto"/>
        <w:jc w:val="both"/>
        <w:rPr>
          <w:rFonts w:ascii="Tahoma" w:hAnsi="Tahoma" w:cs="Tahoma"/>
          <w:lang w:val="es-AR"/>
        </w:rPr>
      </w:pPr>
    </w:p>
    <w:p w14:paraId="5A54D7B0" w14:textId="5455FDD9" w:rsidR="008C7E9C" w:rsidRPr="008C7E9C" w:rsidRDefault="00AB5304" w:rsidP="00F53E3B">
      <w:pPr>
        <w:spacing w:line="360" w:lineRule="auto"/>
        <w:ind w:firstLine="708"/>
        <w:jc w:val="both"/>
        <w:rPr>
          <w:rFonts w:ascii="Tahoma" w:hAnsi="Tahoma" w:cs="Tahoma"/>
          <w:lang w:val="es-AR"/>
        </w:rPr>
      </w:pPr>
      <w:r w:rsidRPr="00AB5304">
        <w:rPr>
          <w:rFonts w:ascii="Tahoma" w:hAnsi="Tahoma" w:cs="Tahoma"/>
          <w:b/>
          <w:bCs/>
          <w:u w:val="single"/>
          <w:lang w:val="es-AR"/>
        </w:rPr>
        <w:t xml:space="preserve">Artículo </w:t>
      </w:r>
      <w:r>
        <w:rPr>
          <w:rFonts w:ascii="Tahoma" w:hAnsi="Tahoma" w:cs="Tahoma"/>
          <w:b/>
          <w:bCs/>
          <w:u w:val="single"/>
          <w:lang w:val="es-AR"/>
        </w:rPr>
        <w:t>3</w:t>
      </w:r>
      <w:r w:rsidRPr="00AB5304">
        <w:rPr>
          <w:rFonts w:ascii="Tahoma" w:hAnsi="Tahoma" w:cs="Tahoma"/>
          <w:b/>
          <w:bCs/>
          <w:u w:val="single"/>
          <w:lang w:val="es-AR"/>
        </w:rPr>
        <w:t>º</w:t>
      </w:r>
      <w:r w:rsidRPr="00AB5304">
        <w:rPr>
          <w:rFonts w:ascii="Tahoma" w:hAnsi="Tahoma" w:cs="Tahoma"/>
          <w:b/>
          <w:bCs/>
          <w:lang w:val="es-AR"/>
        </w:rPr>
        <w:t xml:space="preserve">: </w:t>
      </w:r>
      <w:r w:rsidRPr="00AB5304">
        <w:rPr>
          <w:rFonts w:ascii="Tahoma" w:hAnsi="Tahoma" w:cs="Tahoma"/>
          <w:lang w:val="es-AR"/>
        </w:rPr>
        <w:t xml:space="preserve">Solicítese </w:t>
      </w:r>
      <w:r w:rsidR="008C7E9C" w:rsidRPr="008C7E9C">
        <w:rPr>
          <w:rFonts w:ascii="Tahoma" w:hAnsi="Tahoma" w:cs="Tahoma"/>
          <w:lang w:val="es-AR"/>
        </w:rPr>
        <w:t xml:space="preserve">al INAES que, mientras se revisan las situaciones particulares, evalúe suspender los efectos restrictivos que puedan ocasionar perjuicios de difícil reparación a entidades </w:t>
      </w:r>
      <w:r w:rsidR="008C7E9C" w:rsidRPr="008C7E9C">
        <w:rPr>
          <w:rFonts w:ascii="Tahoma" w:hAnsi="Tahoma" w:cs="Tahoma"/>
          <w:lang w:val="es-AR"/>
        </w:rPr>
        <w:lastRenderedPageBreak/>
        <w:t>efectivamente activas, sin perjuicio del cumplimiento de las obligaciones legales y de las facultades de fiscalización que correspondan.</w:t>
      </w:r>
    </w:p>
    <w:p w14:paraId="03E363EB" w14:textId="77777777" w:rsidR="008C7E9C" w:rsidRPr="008C7E9C" w:rsidRDefault="008C7E9C" w:rsidP="00F53E3B">
      <w:pPr>
        <w:spacing w:line="360" w:lineRule="auto"/>
        <w:jc w:val="both"/>
        <w:rPr>
          <w:rFonts w:ascii="Tahoma" w:hAnsi="Tahoma" w:cs="Tahoma"/>
          <w:lang w:val="es-AR"/>
        </w:rPr>
      </w:pPr>
    </w:p>
    <w:p w14:paraId="457CCDD7" w14:textId="13EB2AC6" w:rsidR="008C7E9C" w:rsidRPr="008C7E9C" w:rsidRDefault="00AB5304" w:rsidP="00F53E3B">
      <w:pPr>
        <w:spacing w:line="360" w:lineRule="auto"/>
        <w:ind w:firstLine="708"/>
        <w:jc w:val="both"/>
        <w:rPr>
          <w:rFonts w:ascii="Tahoma" w:hAnsi="Tahoma" w:cs="Tahoma"/>
          <w:lang w:val="es-AR"/>
        </w:rPr>
      </w:pPr>
      <w:r w:rsidRPr="00AB5304">
        <w:rPr>
          <w:rFonts w:ascii="Tahoma" w:hAnsi="Tahoma" w:cs="Tahoma"/>
          <w:b/>
          <w:bCs/>
          <w:u w:val="single"/>
          <w:lang w:val="es-AR"/>
        </w:rPr>
        <w:t xml:space="preserve">Artículo </w:t>
      </w:r>
      <w:r>
        <w:rPr>
          <w:rFonts w:ascii="Tahoma" w:hAnsi="Tahoma" w:cs="Tahoma"/>
          <w:b/>
          <w:bCs/>
          <w:u w:val="single"/>
          <w:lang w:val="es-AR"/>
        </w:rPr>
        <w:t>4</w:t>
      </w:r>
      <w:r w:rsidRPr="00AB5304">
        <w:rPr>
          <w:rFonts w:ascii="Tahoma" w:hAnsi="Tahoma" w:cs="Tahoma"/>
          <w:b/>
          <w:bCs/>
          <w:u w:val="single"/>
          <w:lang w:val="es-AR"/>
        </w:rPr>
        <w:t>º</w:t>
      </w:r>
      <w:r w:rsidRPr="00AB5304">
        <w:rPr>
          <w:rFonts w:ascii="Tahoma" w:hAnsi="Tahoma" w:cs="Tahoma"/>
          <w:b/>
          <w:bCs/>
          <w:lang w:val="es-AR"/>
        </w:rPr>
        <w:t xml:space="preserve">: </w:t>
      </w:r>
      <w:r w:rsidRPr="00AB5304">
        <w:rPr>
          <w:rFonts w:ascii="Tahoma" w:hAnsi="Tahoma" w:cs="Tahoma"/>
          <w:lang w:val="es-AR"/>
        </w:rPr>
        <w:t>Solicítese</w:t>
      </w:r>
      <w:r w:rsidR="008C7E9C" w:rsidRPr="008C7E9C">
        <w:rPr>
          <w:rFonts w:ascii="Tahoma" w:hAnsi="Tahoma" w:cs="Tahoma"/>
          <w:lang w:val="es-AR"/>
        </w:rPr>
        <w:t xml:space="preserve"> al INAES y al órgano provincial competente en materia cooperativa y mutual que informen la nómina de entidades de General Pueyrredon alcanzadas por la Resolución N.º 2076/2026, discriminando las efectivamente suspendidas, las intimadas a regularizar documentación y aquellas comprendidas en regímenes especiales de relevamiento, incluyendo sus respectivas fechas de matriculación y causales administrativas.</w:t>
      </w:r>
    </w:p>
    <w:p w14:paraId="5FF19608" w14:textId="77777777" w:rsidR="008C7E9C" w:rsidRPr="008C7E9C" w:rsidRDefault="008C7E9C" w:rsidP="00F53E3B">
      <w:pPr>
        <w:spacing w:line="360" w:lineRule="auto"/>
        <w:jc w:val="both"/>
        <w:rPr>
          <w:rFonts w:ascii="Tahoma" w:hAnsi="Tahoma" w:cs="Tahoma"/>
          <w:lang w:val="es-AR"/>
        </w:rPr>
      </w:pPr>
    </w:p>
    <w:p w14:paraId="5215A472" w14:textId="7005202D" w:rsidR="008C7E9C" w:rsidRPr="008C7E9C" w:rsidRDefault="00AB5304" w:rsidP="00F53E3B">
      <w:pPr>
        <w:spacing w:line="360" w:lineRule="auto"/>
        <w:ind w:firstLine="708"/>
        <w:jc w:val="both"/>
        <w:rPr>
          <w:rFonts w:ascii="Tahoma" w:hAnsi="Tahoma" w:cs="Tahoma"/>
          <w:lang w:val="es-AR"/>
        </w:rPr>
      </w:pPr>
      <w:r w:rsidRPr="00AB5304">
        <w:rPr>
          <w:rFonts w:ascii="Tahoma" w:hAnsi="Tahoma" w:cs="Tahoma"/>
          <w:b/>
          <w:bCs/>
          <w:u w:val="single"/>
          <w:lang w:val="es-AR"/>
        </w:rPr>
        <w:t xml:space="preserve">Artículo </w:t>
      </w:r>
      <w:r>
        <w:rPr>
          <w:rFonts w:ascii="Tahoma" w:hAnsi="Tahoma" w:cs="Tahoma"/>
          <w:b/>
          <w:bCs/>
          <w:u w:val="single"/>
          <w:lang w:val="es-AR"/>
        </w:rPr>
        <w:t>5</w:t>
      </w:r>
      <w:r w:rsidRPr="00AB5304">
        <w:rPr>
          <w:rFonts w:ascii="Tahoma" w:hAnsi="Tahoma" w:cs="Tahoma"/>
          <w:b/>
          <w:bCs/>
          <w:u w:val="single"/>
          <w:lang w:val="es-AR"/>
        </w:rPr>
        <w:t>º</w:t>
      </w:r>
      <w:r w:rsidRPr="00AB5304">
        <w:rPr>
          <w:rFonts w:ascii="Tahoma" w:hAnsi="Tahoma" w:cs="Tahoma"/>
          <w:b/>
          <w:bCs/>
          <w:lang w:val="es-AR"/>
        </w:rPr>
        <w:t xml:space="preserve">: </w:t>
      </w:r>
      <w:r>
        <w:rPr>
          <w:rFonts w:ascii="Tahoma" w:hAnsi="Tahoma" w:cs="Tahoma"/>
          <w:b/>
          <w:bCs/>
          <w:lang w:val="es-AR"/>
        </w:rPr>
        <w:t xml:space="preserve"> </w:t>
      </w:r>
      <w:r w:rsidRPr="00AB5304">
        <w:rPr>
          <w:rFonts w:ascii="Tahoma" w:hAnsi="Tahoma" w:cs="Tahoma"/>
          <w:lang w:val="es-AR"/>
        </w:rPr>
        <w:t xml:space="preserve">Solicítese </w:t>
      </w:r>
      <w:r w:rsidR="008C7E9C" w:rsidRPr="008C7E9C">
        <w:rPr>
          <w:rFonts w:ascii="Tahoma" w:hAnsi="Tahoma" w:cs="Tahoma"/>
          <w:lang w:val="es-AR"/>
        </w:rPr>
        <w:t>al Poder Ejecutivo Nacional y a las autoridades competentes un informe sobre la recaudación, distribución y transferencia de los recursos establecidos por la Ley Nacional N.º 23.427, particularmente aquellos que correspondan a la provincia de Buenos Aires para políticas de educación, promoción y desarrollo cooperativo, instando al cumplimiento de las obligaciones financieras legalmente exigibles.</w:t>
      </w:r>
    </w:p>
    <w:p w14:paraId="235286B4" w14:textId="77777777" w:rsidR="008C7E9C" w:rsidRPr="008C7E9C" w:rsidRDefault="008C7E9C" w:rsidP="00F53E3B">
      <w:pPr>
        <w:spacing w:line="360" w:lineRule="auto"/>
        <w:jc w:val="both"/>
        <w:rPr>
          <w:rFonts w:ascii="Tahoma" w:hAnsi="Tahoma" w:cs="Tahoma"/>
          <w:lang w:val="es-AR"/>
        </w:rPr>
      </w:pPr>
    </w:p>
    <w:p w14:paraId="30066056" w14:textId="7A2BE952" w:rsidR="008C7E9C" w:rsidRPr="008C7E9C" w:rsidRDefault="00AB5304" w:rsidP="00F53E3B">
      <w:pPr>
        <w:spacing w:line="360" w:lineRule="auto"/>
        <w:ind w:firstLine="708"/>
        <w:jc w:val="both"/>
        <w:rPr>
          <w:rFonts w:ascii="Tahoma" w:hAnsi="Tahoma" w:cs="Tahoma"/>
          <w:lang w:val="es-AR"/>
        </w:rPr>
      </w:pPr>
      <w:r w:rsidRPr="00AB5304">
        <w:rPr>
          <w:rFonts w:ascii="Tahoma" w:hAnsi="Tahoma" w:cs="Tahoma"/>
          <w:b/>
          <w:bCs/>
          <w:u w:val="single"/>
          <w:lang w:val="es-AR"/>
        </w:rPr>
        <w:t xml:space="preserve">Artículo </w:t>
      </w:r>
      <w:r>
        <w:rPr>
          <w:rFonts w:ascii="Tahoma" w:hAnsi="Tahoma" w:cs="Tahoma"/>
          <w:b/>
          <w:bCs/>
          <w:u w:val="single"/>
          <w:lang w:val="es-AR"/>
        </w:rPr>
        <w:t>6</w:t>
      </w:r>
      <w:r w:rsidRPr="00AB5304">
        <w:rPr>
          <w:rFonts w:ascii="Tahoma" w:hAnsi="Tahoma" w:cs="Tahoma"/>
          <w:b/>
          <w:bCs/>
          <w:u w:val="single"/>
          <w:lang w:val="es-AR"/>
        </w:rPr>
        <w:t>º</w:t>
      </w:r>
      <w:r w:rsidRPr="00AB5304">
        <w:rPr>
          <w:rFonts w:ascii="Tahoma" w:hAnsi="Tahoma" w:cs="Tahoma"/>
          <w:b/>
          <w:bCs/>
          <w:lang w:val="es-AR"/>
        </w:rPr>
        <w:t>:</w:t>
      </w:r>
      <w:r w:rsidR="008C7E9C" w:rsidRPr="008C7E9C">
        <w:rPr>
          <w:rFonts w:ascii="Tahoma" w:hAnsi="Tahoma" w:cs="Tahoma"/>
          <w:lang w:val="es-AR"/>
        </w:rPr>
        <w:t xml:space="preserve"> </w:t>
      </w:r>
      <w:r w:rsidR="00191FD5" w:rsidRPr="008C7E9C">
        <w:rPr>
          <w:rFonts w:ascii="Tahoma" w:hAnsi="Tahoma" w:cs="Tahoma"/>
          <w:lang w:val="es-AR"/>
        </w:rPr>
        <w:t>Manif</w:t>
      </w:r>
      <w:r w:rsidR="00191FD5">
        <w:rPr>
          <w:rFonts w:ascii="Tahoma" w:hAnsi="Tahoma" w:cs="Tahoma"/>
          <w:lang w:val="es-AR"/>
        </w:rPr>
        <w:t>iéstese</w:t>
      </w:r>
      <w:r w:rsidR="008C7E9C" w:rsidRPr="008C7E9C">
        <w:rPr>
          <w:rFonts w:ascii="Tahoma" w:hAnsi="Tahoma" w:cs="Tahoma"/>
          <w:lang w:val="es-AR"/>
        </w:rPr>
        <w:t xml:space="preserve"> el reconocimiento de este Honorable Concejo Deliberante al aporte histórico, económico, laboral, institucional y comunitario del cooperativismo y el mutualismo al desarrollo de la República Argentina y del Partido de General Pueyrredon.</w:t>
      </w:r>
    </w:p>
    <w:p w14:paraId="7FAA9EE0" w14:textId="77777777" w:rsidR="008C7E9C" w:rsidRPr="008C7E9C" w:rsidRDefault="008C7E9C" w:rsidP="00F53E3B">
      <w:pPr>
        <w:spacing w:line="360" w:lineRule="auto"/>
        <w:jc w:val="both"/>
        <w:rPr>
          <w:rFonts w:ascii="Tahoma" w:hAnsi="Tahoma" w:cs="Tahoma"/>
          <w:lang w:val="es-AR"/>
        </w:rPr>
      </w:pPr>
    </w:p>
    <w:p w14:paraId="4F9DFD32" w14:textId="255903AC" w:rsidR="008C7E9C" w:rsidRPr="008C7E9C" w:rsidRDefault="00AB5304" w:rsidP="00F53E3B">
      <w:pPr>
        <w:spacing w:line="360" w:lineRule="auto"/>
        <w:ind w:firstLine="708"/>
        <w:jc w:val="both"/>
        <w:rPr>
          <w:rFonts w:ascii="Tahoma" w:hAnsi="Tahoma" w:cs="Tahoma"/>
          <w:lang w:val="es-AR"/>
        </w:rPr>
      </w:pPr>
      <w:r w:rsidRPr="00AB5304">
        <w:rPr>
          <w:rFonts w:ascii="Tahoma" w:hAnsi="Tahoma" w:cs="Tahoma"/>
          <w:b/>
          <w:bCs/>
          <w:u w:val="single"/>
          <w:lang w:val="es-AR"/>
        </w:rPr>
        <w:t xml:space="preserve">Artículo </w:t>
      </w:r>
      <w:r>
        <w:rPr>
          <w:rFonts w:ascii="Tahoma" w:hAnsi="Tahoma" w:cs="Tahoma"/>
          <w:b/>
          <w:bCs/>
          <w:u w:val="single"/>
          <w:lang w:val="es-AR"/>
        </w:rPr>
        <w:t>7</w:t>
      </w:r>
      <w:r w:rsidRPr="00AB5304">
        <w:rPr>
          <w:rFonts w:ascii="Tahoma" w:hAnsi="Tahoma" w:cs="Tahoma"/>
          <w:b/>
          <w:bCs/>
          <w:u w:val="single"/>
          <w:lang w:val="es-AR"/>
        </w:rPr>
        <w:t>º</w:t>
      </w:r>
      <w:r w:rsidRPr="00AB5304">
        <w:rPr>
          <w:rFonts w:ascii="Tahoma" w:hAnsi="Tahoma" w:cs="Tahoma"/>
          <w:b/>
          <w:bCs/>
          <w:lang w:val="es-AR"/>
        </w:rPr>
        <w:t>:</w:t>
      </w:r>
      <w:r w:rsidR="008C7E9C" w:rsidRPr="008C7E9C">
        <w:rPr>
          <w:rFonts w:ascii="Tahoma" w:hAnsi="Tahoma" w:cs="Tahoma"/>
          <w:lang w:val="es-AR"/>
        </w:rPr>
        <w:t xml:space="preserve"> </w:t>
      </w:r>
      <w:r>
        <w:rPr>
          <w:rFonts w:ascii="Tahoma" w:hAnsi="Tahoma" w:cs="Tahoma"/>
          <w:lang w:val="es-AR"/>
        </w:rPr>
        <w:t>Exprésese</w:t>
      </w:r>
      <w:r w:rsidR="008C7E9C" w:rsidRPr="008C7E9C">
        <w:rPr>
          <w:rFonts w:ascii="Tahoma" w:hAnsi="Tahoma" w:cs="Tahoma"/>
          <w:lang w:val="es-AR"/>
        </w:rPr>
        <w:t xml:space="preserve"> el acompañamiento institucional a las cooperativas, mutuales, federaciones y confederaciones que promuevan mecanismos de revisión, regularización y defensa de la continuidad de las entidades comprendidas en la medida.</w:t>
      </w:r>
    </w:p>
    <w:p w14:paraId="7B0750E2" w14:textId="77777777" w:rsidR="008C7E9C" w:rsidRPr="008C7E9C" w:rsidRDefault="008C7E9C" w:rsidP="00F53E3B">
      <w:pPr>
        <w:spacing w:line="360" w:lineRule="auto"/>
        <w:jc w:val="both"/>
        <w:rPr>
          <w:rFonts w:ascii="Tahoma" w:hAnsi="Tahoma" w:cs="Tahoma"/>
          <w:lang w:val="es-AR"/>
        </w:rPr>
      </w:pPr>
    </w:p>
    <w:p w14:paraId="62B6F99E" w14:textId="5CF3B67E" w:rsidR="008C7E9C" w:rsidRPr="008C7E9C" w:rsidRDefault="00AB5304" w:rsidP="00F53E3B">
      <w:pPr>
        <w:spacing w:line="360" w:lineRule="auto"/>
        <w:ind w:firstLine="708"/>
        <w:jc w:val="both"/>
        <w:rPr>
          <w:rFonts w:ascii="Tahoma" w:hAnsi="Tahoma" w:cs="Tahoma"/>
          <w:lang w:val="es-AR"/>
        </w:rPr>
      </w:pPr>
      <w:r w:rsidRPr="00AB5304">
        <w:rPr>
          <w:rFonts w:ascii="Tahoma" w:hAnsi="Tahoma" w:cs="Tahoma"/>
          <w:b/>
          <w:bCs/>
          <w:u w:val="single"/>
          <w:lang w:val="es-AR"/>
        </w:rPr>
        <w:t xml:space="preserve">Artículo </w:t>
      </w:r>
      <w:r>
        <w:rPr>
          <w:rFonts w:ascii="Tahoma" w:hAnsi="Tahoma" w:cs="Tahoma"/>
          <w:b/>
          <w:bCs/>
          <w:u w:val="single"/>
          <w:lang w:val="es-AR"/>
        </w:rPr>
        <w:t>8</w:t>
      </w:r>
      <w:r w:rsidRPr="00AB5304">
        <w:rPr>
          <w:rFonts w:ascii="Tahoma" w:hAnsi="Tahoma" w:cs="Tahoma"/>
          <w:b/>
          <w:bCs/>
          <w:u w:val="single"/>
          <w:lang w:val="es-AR"/>
        </w:rPr>
        <w:t>º</w:t>
      </w:r>
      <w:r w:rsidRPr="00AB5304">
        <w:rPr>
          <w:rFonts w:ascii="Tahoma" w:hAnsi="Tahoma" w:cs="Tahoma"/>
          <w:b/>
          <w:bCs/>
          <w:lang w:val="es-AR"/>
        </w:rPr>
        <w:t xml:space="preserve">: </w:t>
      </w:r>
      <w:r>
        <w:rPr>
          <w:rFonts w:ascii="Tahoma" w:hAnsi="Tahoma" w:cs="Tahoma"/>
          <w:b/>
          <w:bCs/>
          <w:lang w:val="es-AR"/>
        </w:rPr>
        <w:t xml:space="preserve"> </w:t>
      </w:r>
      <w:r>
        <w:rPr>
          <w:rFonts w:ascii="Tahoma" w:hAnsi="Tahoma" w:cs="Tahoma"/>
          <w:lang w:val="es-AR"/>
        </w:rPr>
        <w:t>Remítase</w:t>
      </w:r>
      <w:r w:rsidR="008C7E9C" w:rsidRPr="008C7E9C">
        <w:rPr>
          <w:rFonts w:ascii="Tahoma" w:hAnsi="Tahoma" w:cs="Tahoma"/>
          <w:lang w:val="es-AR"/>
        </w:rPr>
        <w:t xml:space="preserve"> copia de la presente al Instituto Nacional de Asociativismo y Economía Social, a los organismos provinciales competentes, a las federaciones y confederaciones representativas del cooperativismo y mutualismo y a las autoridades legislativas provinciales y nacionales.</w:t>
      </w:r>
    </w:p>
    <w:p w14:paraId="209304A2" w14:textId="77777777" w:rsidR="008C7E9C" w:rsidRPr="008C7E9C" w:rsidRDefault="008C7E9C" w:rsidP="00F53E3B">
      <w:pPr>
        <w:spacing w:line="360" w:lineRule="auto"/>
        <w:jc w:val="both"/>
        <w:rPr>
          <w:rFonts w:ascii="Tahoma" w:hAnsi="Tahoma" w:cs="Tahoma"/>
          <w:lang w:val="es-AR"/>
        </w:rPr>
      </w:pPr>
    </w:p>
    <w:p w14:paraId="509734F1" w14:textId="4FB57B84" w:rsidR="002D7435" w:rsidRPr="002D7435" w:rsidRDefault="00AB5304" w:rsidP="00F53E3B">
      <w:pPr>
        <w:spacing w:line="360" w:lineRule="auto"/>
        <w:ind w:firstLine="708"/>
        <w:jc w:val="both"/>
        <w:rPr>
          <w:rFonts w:ascii="Tahoma" w:hAnsi="Tahoma" w:cs="Tahoma"/>
          <w:lang w:val="es-AR"/>
        </w:rPr>
      </w:pPr>
      <w:r w:rsidRPr="00AB5304">
        <w:rPr>
          <w:rFonts w:ascii="Tahoma" w:hAnsi="Tahoma" w:cs="Tahoma"/>
          <w:b/>
          <w:bCs/>
          <w:u w:val="single"/>
          <w:lang w:val="es-AR"/>
        </w:rPr>
        <w:t xml:space="preserve">Artículo </w:t>
      </w:r>
      <w:r>
        <w:rPr>
          <w:rFonts w:ascii="Tahoma" w:hAnsi="Tahoma" w:cs="Tahoma"/>
          <w:b/>
          <w:bCs/>
          <w:u w:val="single"/>
          <w:lang w:val="es-AR"/>
        </w:rPr>
        <w:t>9</w:t>
      </w:r>
      <w:r w:rsidRPr="00AB5304">
        <w:rPr>
          <w:rFonts w:ascii="Tahoma" w:hAnsi="Tahoma" w:cs="Tahoma"/>
          <w:b/>
          <w:bCs/>
          <w:u w:val="single"/>
          <w:lang w:val="es-AR"/>
        </w:rPr>
        <w:t>º</w:t>
      </w:r>
      <w:r w:rsidRPr="00AB5304">
        <w:rPr>
          <w:rFonts w:ascii="Tahoma" w:hAnsi="Tahoma" w:cs="Tahoma"/>
          <w:b/>
          <w:bCs/>
          <w:lang w:val="es-AR"/>
        </w:rPr>
        <w:t xml:space="preserve">: </w:t>
      </w:r>
      <w:r w:rsidR="008C7E9C" w:rsidRPr="008C7E9C">
        <w:rPr>
          <w:rFonts w:ascii="Tahoma" w:hAnsi="Tahoma" w:cs="Tahoma"/>
          <w:lang w:val="es-AR"/>
        </w:rPr>
        <w:t xml:space="preserve"> Comuníquese, etc.</w:t>
      </w:r>
    </w:p>
    <w:p w14:paraId="53D6E368" w14:textId="77777777" w:rsidR="002D7435" w:rsidRPr="002D7435" w:rsidRDefault="002D7435" w:rsidP="002D7435">
      <w:pPr>
        <w:jc w:val="both"/>
        <w:rPr>
          <w:rFonts w:ascii="Tahoma" w:hAnsi="Tahoma" w:cs="Tahoma"/>
          <w:lang w:val="es-AR"/>
        </w:rPr>
      </w:pPr>
    </w:p>
    <w:p w14:paraId="75DEEF29" w14:textId="77777777" w:rsidR="002D7435" w:rsidRPr="002D7435" w:rsidRDefault="002D7435" w:rsidP="002D7435">
      <w:pPr>
        <w:jc w:val="both"/>
        <w:rPr>
          <w:rFonts w:ascii="Tahoma" w:hAnsi="Tahoma" w:cs="Tahoma"/>
          <w:lang w:val="es-AR"/>
        </w:rPr>
      </w:pPr>
    </w:p>
    <w:p w14:paraId="0489E4B2" w14:textId="77777777" w:rsidR="002D7435" w:rsidRPr="002D7435" w:rsidRDefault="002D7435" w:rsidP="002D7435">
      <w:pPr>
        <w:jc w:val="both"/>
        <w:rPr>
          <w:rFonts w:ascii="Tahoma" w:hAnsi="Tahoma" w:cs="Tahoma"/>
          <w:lang w:val="es-AR"/>
        </w:rPr>
      </w:pPr>
    </w:p>
    <w:p w14:paraId="39172A40" w14:textId="77777777" w:rsidR="002D7435" w:rsidRPr="002D7435" w:rsidRDefault="002D7435" w:rsidP="002D7435">
      <w:pPr>
        <w:jc w:val="both"/>
        <w:rPr>
          <w:rFonts w:ascii="Tahoma" w:hAnsi="Tahoma" w:cs="Tahoma"/>
          <w:lang w:val="es-AR"/>
        </w:rPr>
      </w:pPr>
      <w:r w:rsidRPr="002D7435">
        <w:rPr>
          <w:rFonts w:ascii="Tahoma" w:hAnsi="Tahoma" w:cs="Tahoma"/>
          <w:lang w:val="es-AR"/>
        </w:rPr>
        <w:t>Autoría:</w:t>
      </w:r>
    </w:p>
    <w:p w14:paraId="48BCABD2" w14:textId="77777777" w:rsidR="002D7435" w:rsidRPr="002D7435" w:rsidRDefault="002D7435" w:rsidP="002D7435">
      <w:pPr>
        <w:jc w:val="both"/>
        <w:rPr>
          <w:rFonts w:ascii="Tahoma" w:hAnsi="Tahoma" w:cs="Tahoma"/>
          <w:lang w:val="es-AR"/>
        </w:rPr>
      </w:pPr>
    </w:p>
    <w:p w14:paraId="09187793" w14:textId="77777777" w:rsidR="002D7435" w:rsidRPr="002D7435" w:rsidRDefault="002D7435" w:rsidP="002D7435">
      <w:pPr>
        <w:jc w:val="both"/>
        <w:rPr>
          <w:rFonts w:ascii="Tahoma" w:hAnsi="Tahoma" w:cs="Tahoma"/>
          <w:lang w:val="es-AR"/>
        </w:rPr>
      </w:pPr>
    </w:p>
    <w:p w14:paraId="0AB0058B" w14:textId="77777777" w:rsidR="002D7435" w:rsidRPr="002D7435" w:rsidRDefault="002D7435" w:rsidP="002D7435">
      <w:pPr>
        <w:jc w:val="both"/>
        <w:rPr>
          <w:rFonts w:ascii="Tahoma" w:hAnsi="Tahoma" w:cs="Tahoma"/>
          <w:lang w:val="es-AR"/>
        </w:rPr>
      </w:pPr>
    </w:p>
    <w:p w14:paraId="1DD14F62" w14:textId="77777777" w:rsidR="002D7435" w:rsidRPr="002D7435" w:rsidRDefault="002D7435" w:rsidP="002D7435">
      <w:pPr>
        <w:jc w:val="both"/>
        <w:rPr>
          <w:rFonts w:ascii="Tahoma" w:hAnsi="Tahoma" w:cs="Tahoma"/>
          <w:lang w:val="es-AR"/>
        </w:rPr>
      </w:pPr>
    </w:p>
    <w:p w14:paraId="01DF2AB0" w14:textId="77777777" w:rsidR="002D7435" w:rsidRPr="002D7435" w:rsidRDefault="002D7435" w:rsidP="002D7435">
      <w:pPr>
        <w:jc w:val="both"/>
        <w:rPr>
          <w:rFonts w:ascii="Tahoma" w:hAnsi="Tahoma" w:cs="Tahoma"/>
          <w:lang w:val="es-AR"/>
        </w:rPr>
      </w:pPr>
      <w:r w:rsidRPr="002D7435">
        <w:rPr>
          <w:rFonts w:ascii="Tahoma" w:hAnsi="Tahoma" w:cs="Tahoma"/>
          <w:lang w:val="es-AR"/>
        </w:rPr>
        <w:t>Adhesión:</w:t>
      </w:r>
    </w:p>
    <w:p w14:paraId="69754B5F" w14:textId="77777777" w:rsidR="002D7435" w:rsidRPr="002D7435" w:rsidRDefault="002D7435" w:rsidP="002D7435">
      <w:pPr>
        <w:jc w:val="both"/>
        <w:rPr>
          <w:rFonts w:ascii="Tahoma" w:hAnsi="Tahoma" w:cs="Tahoma"/>
        </w:rPr>
      </w:pPr>
    </w:p>
    <w:p w14:paraId="27D621D1" w14:textId="77777777" w:rsidR="00394550" w:rsidRPr="002D7435" w:rsidRDefault="00394550">
      <w:pPr>
        <w:jc w:val="both"/>
        <w:rPr>
          <w:rFonts w:ascii="Tahoma" w:hAnsi="Tahoma" w:cs="Tahoma"/>
          <w:lang w:val="es-AR"/>
        </w:rPr>
      </w:pPr>
    </w:p>
    <w:sectPr w:rsidR="00394550" w:rsidRPr="002D7435">
      <w:headerReference w:type="default" r:id="rId7"/>
      <w:footerReference w:type="default" r:id="rId8"/>
      <w:pgSz w:w="11906" w:h="16838"/>
      <w:pgMar w:top="2268" w:right="1134" w:bottom="1134" w:left="1134" w:header="85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4B6FF" w14:textId="77777777" w:rsidR="00D043AE" w:rsidRDefault="00D043AE">
      <w:pPr>
        <w:spacing w:after="0" w:line="240" w:lineRule="auto"/>
      </w:pPr>
      <w:r>
        <w:separator/>
      </w:r>
    </w:p>
  </w:endnote>
  <w:endnote w:type="continuationSeparator" w:id="0">
    <w:p w14:paraId="5006A46D" w14:textId="77777777" w:rsidR="00D043AE" w:rsidRDefault="00D04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Noto Sans CJK SC">
    <w:charset w:val="01"/>
    <w:family w:val="auto"/>
    <w:pitch w:val="variable"/>
  </w:font>
  <w:font w:name="Lohit Devanagari">
    <w:altName w:val="Times New Roman"/>
    <w:charset w:val="01"/>
    <w:family w:val="auto"/>
    <w:pitch w:val="variable"/>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31E5D" w14:textId="77777777" w:rsidR="004578A5" w:rsidRDefault="00C155CD">
    <w:pPr>
      <w:pStyle w:val="Piedepgina"/>
      <w:jc w:val="center"/>
      <w:rPr>
        <w:lang w:eastAsia="es-ES"/>
      </w:rPr>
    </w:pPr>
    <w:r>
      <w:rPr>
        <w:noProof/>
        <w:lang w:eastAsia="es-ES"/>
      </w:rPr>
      <w:drawing>
        <wp:anchor distT="0" distB="0" distL="114935" distR="114935" simplePos="0" relativeHeight="251655680" behindDoc="1" locked="0" layoutInCell="0" allowOverlap="1" wp14:anchorId="3D5734E0" wp14:editId="55945402">
          <wp:simplePos x="0" y="0"/>
          <wp:positionH relativeFrom="column">
            <wp:posOffset>-499110</wp:posOffset>
          </wp:positionH>
          <wp:positionV relativeFrom="page">
            <wp:posOffset>9490710</wp:posOffset>
          </wp:positionV>
          <wp:extent cx="1016635" cy="1026795"/>
          <wp:effectExtent l="1905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9640" t="-31" r="-31" b="49373"/>
                  <a:stretch>
                    <a:fillRect/>
                  </a:stretch>
                </pic:blipFill>
                <pic:spPr bwMode="auto">
                  <a:xfrm>
                    <a:off x="0" y="0"/>
                    <a:ext cx="1016635" cy="1026795"/>
                  </a:xfrm>
                  <a:prstGeom prst="rect">
                    <a:avLst/>
                  </a:prstGeom>
                  <a:solidFill>
                    <a:srgbClr val="FFFFFF">
                      <a:alpha val="0"/>
                    </a:srgbClr>
                  </a:solidFill>
                  <a:ln w="9525">
                    <a:noFill/>
                    <a:miter lim="800000"/>
                    <a:headEnd/>
                    <a:tailEnd/>
                  </a:ln>
                </pic:spPr>
              </pic:pic>
            </a:graphicData>
          </a:graphic>
        </wp:anchor>
      </w:drawing>
    </w:r>
    <w:r>
      <w:rPr>
        <w:noProof/>
        <w:lang w:eastAsia="es-ES"/>
      </w:rPr>
      <w:drawing>
        <wp:anchor distT="0" distB="0" distL="114935" distR="114935" simplePos="0" relativeHeight="251656704" behindDoc="1" locked="0" layoutInCell="0" allowOverlap="1" wp14:anchorId="3667BA60" wp14:editId="4465D30F">
          <wp:simplePos x="0" y="0"/>
          <wp:positionH relativeFrom="column">
            <wp:posOffset>5601970</wp:posOffset>
          </wp:positionH>
          <wp:positionV relativeFrom="page">
            <wp:posOffset>9433560</wp:posOffset>
          </wp:positionV>
          <wp:extent cx="1016635" cy="1026795"/>
          <wp:effectExtent l="1905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l="-31" t="-31" r="49640" b="49373"/>
                  <a:stretch>
                    <a:fillRect/>
                  </a:stretch>
                </pic:blipFill>
                <pic:spPr bwMode="auto">
                  <a:xfrm>
                    <a:off x="0" y="0"/>
                    <a:ext cx="1016635" cy="1026795"/>
                  </a:xfrm>
                  <a:prstGeom prst="rect">
                    <a:avLst/>
                  </a:prstGeom>
                  <a:solidFill>
                    <a:srgbClr val="FFFFFF">
                      <a:alpha val="0"/>
                    </a:srgbClr>
                  </a:solidFill>
                  <a:ln w="9525">
                    <a:noFill/>
                    <a:miter lim="800000"/>
                    <a:headEnd/>
                    <a:tailEnd/>
                  </a:ln>
                </pic:spPr>
              </pic:pic>
            </a:graphicData>
          </a:graphic>
        </wp:anchor>
      </w:drawing>
    </w:r>
  </w:p>
  <w:p w14:paraId="51D09446" w14:textId="77777777" w:rsidR="004578A5" w:rsidRDefault="004578A5">
    <w:pPr>
      <w:pStyle w:val="Piedepgina"/>
      <w:jc w:val="center"/>
      <w:rPr>
        <w:lang w:eastAsia="es-ES"/>
      </w:rPr>
    </w:pPr>
  </w:p>
  <w:p w14:paraId="49D52E00" w14:textId="77777777" w:rsidR="004578A5" w:rsidRDefault="00C155CD">
    <w:pPr>
      <w:pStyle w:val="Piedepgina"/>
      <w:jc w:val="center"/>
      <w:rPr>
        <w:rFonts w:ascii="Arial" w:hAnsi="Arial" w:cs="Arial"/>
        <w:sz w:val="20"/>
        <w:szCs w:val="20"/>
      </w:rPr>
    </w:pPr>
    <w:r>
      <w:rPr>
        <w:rFonts w:ascii="Arial" w:hAnsi="Arial" w:cs="Arial"/>
        <w:sz w:val="20"/>
        <w:szCs w:val="20"/>
      </w:rPr>
      <w:t>Hip. Yrigoyen 1627 | 2º Piso Palacio Municipal | Ala izquierda</w:t>
    </w:r>
  </w:p>
  <w:p w14:paraId="12529769" w14:textId="77777777" w:rsidR="004578A5" w:rsidRDefault="00C155CD">
    <w:pPr>
      <w:pStyle w:val="Piedepgina"/>
      <w:jc w:val="center"/>
      <w:rPr>
        <w:rFonts w:ascii="Arial" w:hAnsi="Arial" w:cs="Arial"/>
        <w:sz w:val="20"/>
        <w:szCs w:val="20"/>
      </w:rPr>
    </w:pPr>
    <w:r>
      <w:rPr>
        <w:rFonts w:ascii="Arial" w:hAnsi="Arial" w:cs="Arial"/>
        <w:sz w:val="20"/>
        <w:szCs w:val="20"/>
      </w:rPr>
      <w:t>Tel. 223 499 6510 – B7600DOM | Mar del Plata | Prov. de Buenos Aires | Rep. Argentina</w:t>
    </w:r>
  </w:p>
  <w:p w14:paraId="05874FB8" w14:textId="77777777" w:rsidR="004578A5" w:rsidRDefault="00C155CD">
    <w:pPr>
      <w:pStyle w:val="Piedepgina"/>
      <w:jc w:val="center"/>
    </w:pPr>
    <w:r>
      <w:rPr>
        <w:rFonts w:ascii="Arial" w:hAnsi="Arial" w:cs="Arial"/>
        <w:sz w:val="20"/>
        <w:szCs w:val="20"/>
      </w:rPr>
      <w:t xml:space="preserve">info@concejomdp.gob.ar | </w:t>
    </w:r>
    <w:hyperlink r:id="rId2" w:history="1">
      <w:r>
        <w:rPr>
          <w:rStyle w:val="Hipervnculo"/>
          <w:rFonts w:ascii="Arial" w:hAnsi="Arial" w:cs="Arial"/>
          <w:sz w:val="20"/>
          <w:szCs w:val="20"/>
        </w:rPr>
        <w:t>www.concejomdp.gob.ar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52DAB" w14:textId="77777777" w:rsidR="00D043AE" w:rsidRDefault="00D043AE">
      <w:pPr>
        <w:spacing w:after="0" w:line="240" w:lineRule="auto"/>
      </w:pPr>
      <w:r>
        <w:separator/>
      </w:r>
    </w:p>
  </w:footnote>
  <w:footnote w:type="continuationSeparator" w:id="0">
    <w:p w14:paraId="1FE046CE" w14:textId="77777777" w:rsidR="00D043AE" w:rsidRDefault="00D043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F517" w14:textId="5D1E17FA" w:rsidR="004578A5" w:rsidRDefault="00C155CD">
    <w:pPr>
      <w:pStyle w:val="Encabezado"/>
      <w:jc w:val="center"/>
      <w:rPr>
        <w:rFonts w:ascii="Times New Roman" w:hAnsi="Times New Roman"/>
        <w:sz w:val="24"/>
        <w:szCs w:val="24"/>
        <w:lang w:eastAsia="es-ES"/>
      </w:rPr>
    </w:pPr>
    <w:r>
      <w:rPr>
        <w:noProof/>
        <w:lang w:eastAsia="es-ES"/>
      </w:rPr>
      <w:drawing>
        <wp:anchor distT="0" distB="0" distL="114300" distR="114300" simplePos="0" relativeHeight="251661824" behindDoc="0" locked="0" layoutInCell="1" allowOverlap="1" wp14:anchorId="7970367E" wp14:editId="60E76899">
          <wp:simplePos x="0" y="0"/>
          <wp:positionH relativeFrom="column">
            <wp:posOffset>4251325</wp:posOffset>
          </wp:positionH>
          <wp:positionV relativeFrom="paragraph">
            <wp:posOffset>635</wp:posOffset>
          </wp:positionV>
          <wp:extent cx="1906905" cy="768350"/>
          <wp:effectExtent l="19050" t="0" r="0"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1906905" cy="768350"/>
                  </a:xfrm>
                  <a:prstGeom prst="rect">
                    <a:avLst/>
                  </a:prstGeom>
                  <a:noFill/>
                  <a:ln w="9525">
                    <a:noFill/>
                    <a:miter lim="800000"/>
                    <a:headEnd/>
                    <a:tailEnd/>
                  </a:ln>
                </pic:spPr>
              </pic:pic>
            </a:graphicData>
          </a:graphic>
        </wp:anchor>
      </w:drawing>
    </w:r>
    <w:r>
      <w:rPr>
        <w:noProof/>
        <w:lang w:eastAsia="es-ES"/>
      </w:rPr>
      <w:drawing>
        <wp:anchor distT="0" distB="0" distL="114935" distR="114935" simplePos="0" relativeHeight="251658752" behindDoc="0" locked="0" layoutInCell="0" allowOverlap="1" wp14:anchorId="28A493EB" wp14:editId="4CCB6C25">
          <wp:simplePos x="0" y="0"/>
          <wp:positionH relativeFrom="column">
            <wp:posOffset>-27940</wp:posOffset>
          </wp:positionH>
          <wp:positionV relativeFrom="page">
            <wp:posOffset>554355</wp:posOffset>
          </wp:positionV>
          <wp:extent cx="1622425" cy="750570"/>
          <wp:effectExtent l="1905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srcRect l="-35" t="-76" r="-35" b="-76"/>
                  <a:stretch>
                    <a:fillRect/>
                  </a:stretch>
                </pic:blipFill>
                <pic:spPr bwMode="auto">
                  <a:xfrm>
                    <a:off x="0" y="0"/>
                    <a:ext cx="1622425" cy="750570"/>
                  </a:xfrm>
                  <a:prstGeom prst="rect">
                    <a:avLst/>
                  </a:prstGeom>
                  <a:solidFill>
                    <a:srgbClr val="FFFFFF">
                      <a:alpha val="0"/>
                    </a:srgbClr>
                  </a:solidFill>
                  <a:ln w="9525">
                    <a:noFill/>
                    <a:miter lim="800000"/>
                    <a:headEnd/>
                    <a:tailEnd/>
                  </a:ln>
                </pic:spPr>
              </pic:pic>
            </a:graphicData>
          </a:graphic>
        </wp:anchor>
      </w:drawing>
    </w:r>
    <w:r w:rsidR="00693D41">
      <w:rPr>
        <w:noProof/>
      </w:rPr>
      <mc:AlternateContent>
        <mc:Choice Requires="wps">
          <w:drawing>
            <wp:anchor distT="0" distB="0" distL="114935" distR="114935" simplePos="0" relativeHeight="251659776" behindDoc="0" locked="0" layoutInCell="0" allowOverlap="1" wp14:anchorId="3300B61D" wp14:editId="43B6F692">
              <wp:simplePos x="0" y="0"/>
              <wp:positionH relativeFrom="column">
                <wp:posOffset>1712595</wp:posOffset>
              </wp:positionH>
              <wp:positionV relativeFrom="paragraph">
                <wp:posOffset>-374650</wp:posOffset>
              </wp:positionV>
              <wp:extent cx="4610100" cy="426720"/>
              <wp:effectExtent l="7620" t="6350" r="1905" b="5080"/>
              <wp:wrapNone/>
              <wp:docPr id="53424925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4267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5ECCA8" w14:textId="77777777" w:rsidR="004578A5" w:rsidRDefault="004578A5">
                          <w:pPr>
                            <w:spacing w:after="0"/>
                            <w:jc w:val="right"/>
                            <w:rPr>
                              <w:rFonts w:ascii="Arial" w:hAnsi="Arial" w:cs="Arial"/>
                              <w:b/>
                              <w:sz w:val="16"/>
                              <w:szCs w:val="16"/>
                              <w:lang w:val="es-MX"/>
                            </w:rPr>
                          </w:pPr>
                        </w:p>
                        <w:p w14:paraId="7CDDF336" w14:textId="77777777" w:rsidR="004578A5" w:rsidRDefault="00C155CD">
                          <w:pPr>
                            <w:jc w:val="right"/>
                          </w:pPr>
                          <w:r>
                            <w:rPr>
                              <w:rFonts w:ascii="Arial" w:hAnsi="Arial" w:cs="Arial"/>
                              <w:b/>
                              <w:sz w:val="16"/>
                              <w:szCs w:val="14"/>
                              <w:lang w:val="es-MX"/>
                            </w:rPr>
                            <w:t>“2026 – A 50 años de la última dictadura. Democracia siempre”</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00B61D" id="_x0000_t202" coordsize="21600,21600" o:spt="202" path="m,l,21600r21600,l21600,xe">
              <v:stroke joinstyle="miter"/>
              <v:path gradientshapeok="t" o:connecttype="rect"/>
            </v:shapetype>
            <v:shape id="Text Box 5" o:spid="_x0000_s1026" type="#_x0000_t202" style="position:absolute;left:0;text-align:left;margin-left:134.85pt;margin-top:-29.5pt;width:363pt;height:33.6pt;z-index:2516597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" o:allowincell="f" stroked="f">
              <v:fill opacity="0"/>
              <v:textbox inset="7.3pt,3.7pt,7.3pt,3.7pt">
                <w:txbxContent>
                  <w:p w14:paraId="115ECCA8" w14:textId="77777777" w:rsidR="004578A5" w:rsidRDefault="004578A5">
                    <w:pPr>
                      <w:spacing w:after="0"/>
                      <w:jc w:val="right"/>
                      <w:rPr>
                        <w:rFonts w:ascii="Arial" w:hAnsi="Arial" w:cs="Arial"/>
                        <w:b/>
                        <w:sz w:val="16"/>
                        <w:szCs w:val="16"/>
                        <w:lang w:val="es-MX"/>
                      </w:rPr>
                    </w:pPr>
                  </w:p>
                  <w:p w14:paraId="7CDDF336" w14:textId="77777777" w:rsidR="004578A5" w:rsidRDefault="00C155CD">
                    <w:pPr>
                      <w:jc w:val="right"/>
                    </w:pPr>
                    <w:r>
                      <w:rPr>
                        <w:rFonts w:ascii="Arial" w:hAnsi="Arial" w:cs="Arial"/>
                        <w:b/>
                        <w:sz w:val="16"/>
                        <w:szCs w:val="14"/>
                        <w:lang w:val="es-MX"/>
                      </w:rPr>
                      <w:t>“2026 – A 50 años de la última dictadura. Democracia siempre”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58663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5CD"/>
    <w:rsid w:val="00003C16"/>
    <w:rsid w:val="00191FD5"/>
    <w:rsid w:val="001F3261"/>
    <w:rsid w:val="002219FE"/>
    <w:rsid w:val="002D7435"/>
    <w:rsid w:val="00392C54"/>
    <w:rsid w:val="00394550"/>
    <w:rsid w:val="004578A5"/>
    <w:rsid w:val="004F402D"/>
    <w:rsid w:val="00526424"/>
    <w:rsid w:val="00693D41"/>
    <w:rsid w:val="006A5BF8"/>
    <w:rsid w:val="0073466F"/>
    <w:rsid w:val="008C7E9C"/>
    <w:rsid w:val="009A6D45"/>
    <w:rsid w:val="00AB5304"/>
    <w:rsid w:val="00B722FB"/>
    <w:rsid w:val="00C155CD"/>
    <w:rsid w:val="00C6770A"/>
    <w:rsid w:val="00CB1B7E"/>
    <w:rsid w:val="00D043AE"/>
    <w:rsid w:val="00DC5E08"/>
    <w:rsid w:val="00EC46ED"/>
    <w:rsid w:val="00F53E3B"/>
    <w:rsid w:val="00FE2F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A0C44DC"/>
  <w15:docId w15:val="{28098316-41C0-411B-9717-4D17F84AA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zh-CN"/>
    </w:rPr>
  </w:style>
  <w:style w:type="paragraph" w:styleId="Ttulo1">
    <w:name w:val="heading 1"/>
    <w:basedOn w:val="Normal"/>
    <w:next w:val="Normal"/>
    <w:qFormat/>
    <w:pPr>
      <w:keepNext/>
      <w:numPr>
        <w:numId w:val="1"/>
      </w:numPr>
      <w:spacing w:after="0" w:line="240" w:lineRule="auto"/>
      <w:outlineLvl w:val="0"/>
    </w:pPr>
    <w:rPr>
      <w:rFonts w:ascii="Arial" w:hAnsi="Arial" w:cs="Arial"/>
      <w:b/>
      <w:sz w:val="20"/>
      <w:szCs w:val="20"/>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3">
    <w:name w:val="Fuente de párrafo predeter.3"/>
  </w:style>
  <w:style w:type="character" w:customStyle="1" w:styleId="EncabezadoCar">
    <w:name w:val="Encabezado Car"/>
    <w:basedOn w:val="Fuentedeprrafopredeter3"/>
    <w:rPr>
      <w:rFonts w:cs="Times New Roman"/>
    </w:rPr>
  </w:style>
  <w:style w:type="character" w:customStyle="1" w:styleId="PiedepginaCar">
    <w:name w:val="Pie de página Car"/>
    <w:basedOn w:val="Fuentedeprrafopredeter3"/>
    <w:rPr>
      <w:rFonts w:cs="Times New Roman"/>
    </w:rPr>
  </w:style>
  <w:style w:type="character" w:customStyle="1" w:styleId="TextodegloboCar">
    <w:name w:val="Texto de globo Car"/>
    <w:basedOn w:val="Fuentedeprrafopredeter3"/>
    <w:rPr>
      <w:rFonts w:ascii="Tahoma" w:hAnsi="Tahoma" w:cs="Tahoma"/>
      <w:sz w:val="16"/>
      <w:szCs w:val="16"/>
    </w:rPr>
  </w:style>
  <w:style w:type="character" w:styleId="Hipervnculo">
    <w:name w:val="Hyperlink"/>
    <w:basedOn w:val="Fuentedeprrafopredeter3"/>
    <w:rPr>
      <w:rFonts w:cs="Times New Roman"/>
      <w:color w:val="0000FF"/>
      <w:u w:val="single"/>
    </w:rPr>
  </w:style>
  <w:style w:type="character" w:customStyle="1" w:styleId="Ttulo1Car">
    <w:name w:val="Título 1 Car"/>
    <w:basedOn w:val="Fuentedeprrafopredeter3"/>
    <w:rPr>
      <w:rFonts w:ascii="Arial" w:eastAsia="Times New Roman" w:hAnsi="Arial" w:cs="Arial"/>
      <w:b/>
      <w:lang w:val="es-AR"/>
    </w:rPr>
  </w:style>
  <w:style w:type="character" w:customStyle="1" w:styleId="Fuentedeprrafopredeter1">
    <w:name w:val="Fuente de párrafo predeter.1"/>
  </w:style>
  <w:style w:type="character" w:customStyle="1" w:styleId="Fuentedeprrafopredeter2">
    <w:name w:val="Fuente de párrafo predeter.2"/>
  </w:style>
  <w:style w:type="paragraph" w:customStyle="1" w:styleId="Ttulo3">
    <w:name w:val="Título3"/>
    <w:basedOn w:val="Normal"/>
    <w:next w:val="Textoindependiente"/>
    <w:pPr>
      <w:keepNext/>
      <w:spacing w:before="240" w:after="120"/>
    </w:pPr>
    <w:rPr>
      <w:rFonts w:ascii="Liberation Sans" w:eastAsia="Noto Sans CJK SC" w:hAnsi="Liberation Sans" w:cs="Lohit Devanagari"/>
      <w:sz w:val="28"/>
      <w:szCs w:val="28"/>
    </w:rPr>
  </w:style>
  <w:style w:type="paragraph" w:styleId="Textoindependiente">
    <w:name w:val="Body Text"/>
    <w:basedOn w:val="Normal"/>
    <w:pPr>
      <w:spacing w:after="140"/>
    </w:pPr>
  </w:style>
  <w:style w:type="paragraph" w:styleId="Lista">
    <w:name w:val="List"/>
    <w:basedOn w:val="Textoindependiente"/>
    <w:rPr>
      <w:rFonts w:cs="Lohit Devanagari"/>
    </w:rPr>
  </w:style>
  <w:style w:type="paragraph" w:styleId="Descripcin">
    <w:name w:val="caption"/>
    <w:basedOn w:val="Normal"/>
    <w:qFormat/>
    <w:pPr>
      <w:suppressLineNumbers/>
      <w:spacing w:before="120" w:after="120"/>
    </w:pPr>
    <w:rPr>
      <w:rFonts w:cs="Lohit Devanagari"/>
      <w:i/>
      <w:iCs/>
      <w:sz w:val="24"/>
      <w:szCs w:val="24"/>
    </w:rPr>
  </w:style>
  <w:style w:type="paragraph" w:customStyle="1" w:styleId="ndice">
    <w:name w:val="Índice"/>
    <w:basedOn w:val="Normal"/>
    <w:pPr>
      <w:suppressLineNumbers/>
    </w:pPr>
    <w:rPr>
      <w:rFonts w:cs="Lohit Devanagari"/>
    </w:rPr>
  </w:style>
  <w:style w:type="paragraph" w:customStyle="1" w:styleId="Cabeceraypie">
    <w:name w:val="Cabecera y pie"/>
    <w:basedOn w:val="Normal"/>
    <w:pPr>
      <w:suppressLineNumbers/>
      <w:tabs>
        <w:tab w:val="center" w:pos="4819"/>
        <w:tab w:val="right" w:pos="9638"/>
      </w:tabs>
    </w:pPr>
  </w:style>
  <w:style w:type="paragraph" w:styleId="Encabezado">
    <w:name w:val="header"/>
    <w:basedOn w:val="Normal"/>
    <w:pPr>
      <w:spacing w:after="0" w:line="240" w:lineRule="auto"/>
    </w:pPr>
  </w:style>
  <w:style w:type="paragraph" w:styleId="Piedepgina">
    <w:name w:val="footer"/>
    <w:basedOn w:val="Normal"/>
    <w:pPr>
      <w:spacing w:after="0" w:line="240" w:lineRule="auto"/>
    </w:pPr>
  </w:style>
  <w:style w:type="paragraph" w:styleId="Textodeglobo">
    <w:name w:val="Balloon Text"/>
    <w:basedOn w:val="Normal"/>
    <w:pPr>
      <w:spacing w:after="0" w:line="240" w:lineRule="auto"/>
    </w:pPr>
    <w:rPr>
      <w:rFonts w:ascii="Tahoma" w:hAnsi="Tahoma" w:cs="Tahoma"/>
      <w:sz w:val="16"/>
      <w:szCs w:val="16"/>
    </w:rPr>
  </w:style>
  <w:style w:type="paragraph" w:customStyle="1" w:styleId="Contenidodelmarco">
    <w:name w:val="Contenido del marco"/>
    <w:basedOn w:val="Normal"/>
  </w:style>
  <w:style w:type="paragraph" w:customStyle="1" w:styleId="Epgrafe1">
    <w:name w:val="Epígrafe1"/>
    <w:basedOn w:val="Normal"/>
    <w:pPr>
      <w:suppressLineNumbers/>
      <w:spacing w:before="120" w:after="120"/>
    </w:pPr>
    <w:rPr>
      <w:rFonts w:cs="Lohit Devanagari"/>
      <w:i/>
      <w:iCs/>
      <w:sz w:val="24"/>
      <w:szCs w:val="24"/>
    </w:rPr>
  </w:style>
  <w:style w:type="paragraph" w:customStyle="1" w:styleId="Ttulo10">
    <w:name w:val="Título1"/>
    <w:basedOn w:val="Normal"/>
    <w:next w:val="Textoindependiente"/>
    <w:pPr>
      <w:keepNext/>
      <w:spacing w:before="240" w:after="120"/>
    </w:pPr>
    <w:rPr>
      <w:rFonts w:ascii="Liberation Sans" w:eastAsia="Noto Sans CJK SC" w:hAnsi="Liberation Sans" w:cs="Lohit Devanagari"/>
      <w:sz w:val="28"/>
      <w:szCs w:val="28"/>
    </w:rPr>
  </w:style>
  <w:style w:type="paragraph" w:customStyle="1" w:styleId="Epgrafe2">
    <w:name w:val="Epígrafe2"/>
    <w:basedOn w:val="Normal"/>
    <w:pPr>
      <w:suppressLineNumbers/>
      <w:spacing w:before="120" w:after="120"/>
    </w:pPr>
    <w:rPr>
      <w:rFonts w:cs="FreeSans"/>
      <w:i/>
      <w:iCs/>
      <w:sz w:val="24"/>
      <w:szCs w:val="24"/>
    </w:rPr>
  </w:style>
  <w:style w:type="paragraph" w:customStyle="1" w:styleId="Ttulo2">
    <w:name w:val="Título2"/>
    <w:basedOn w:val="Normal"/>
    <w:next w:val="Textoindependiente"/>
    <w:pPr>
      <w:keepNext/>
      <w:spacing w:before="240" w:after="120"/>
    </w:pPr>
    <w:rPr>
      <w:rFonts w:ascii="Liberation Sans" w:eastAsia="Noto Sans CJK SC" w:hAnsi="Liberation Sans" w:cs="FreeSan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concejomdp.gob.ar/"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Aplicaciones\Membretes%20Bloques%202026\AMMDF\Membrete%20A4.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Membrete A4.dot</Template>
  <TotalTime>50</TotalTime>
  <Pages>8</Pages>
  <Words>2126</Words>
  <Characters>11696</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Equipo</dc:creator>
  <cp:lastModifiedBy>Usuario</cp:lastModifiedBy>
  <cp:revision>10</cp:revision>
  <cp:lastPrinted>2022-01-20T14:26:00Z</cp:lastPrinted>
  <dcterms:created xsi:type="dcterms:W3CDTF">2026-10-26T14:19:00Z</dcterms:created>
  <dcterms:modified xsi:type="dcterms:W3CDTF">2026-10-27T13:23:00Z</dcterms:modified>
</cp:coreProperties>
</file>