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right"/>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Mar del Plata, 08 de enero de 2026</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2">
      <w:pPr>
        <w:spacing w:after="240" w:before="240" w:line="36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Al Presidente del</w:t>
      </w:r>
    </w:p>
    <w:p w:rsidR="00000000" w:rsidDel="00000000" w:rsidP="00000000" w:rsidRDefault="00000000" w:rsidRPr="00000000" w14:paraId="00000003">
      <w:pPr>
        <w:spacing w:after="240" w:before="240" w:line="36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Honorable Concejo Deliberante</w:t>
      </w:r>
    </w:p>
    <w:p w:rsidR="00000000" w:rsidDel="00000000" w:rsidP="00000000" w:rsidRDefault="00000000" w:rsidRPr="00000000" w14:paraId="00000004">
      <w:pPr>
        <w:spacing w:after="240" w:before="240" w:line="36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Sr. Luis Emiliano Recalt</w:t>
      </w:r>
    </w:p>
    <w:p w:rsidR="00000000" w:rsidDel="00000000" w:rsidP="00000000" w:rsidRDefault="00000000" w:rsidRPr="00000000" w14:paraId="00000005">
      <w:pPr>
        <w:spacing w:after="240" w:before="24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rtl w:val="0"/>
        </w:rPr>
        <w:t xml:space="preserve">S----------------/------------------D</w:t>
      </w:r>
      <w:r w:rsidDel="00000000" w:rsidR="00000000" w:rsidRPr="00000000">
        <w:rPr>
          <w:rtl w:val="0"/>
        </w:rPr>
      </w:r>
    </w:p>
    <w:p w:rsidR="00000000" w:rsidDel="00000000" w:rsidP="00000000" w:rsidRDefault="00000000" w:rsidRPr="00000000" w14:paraId="00000006">
      <w:pPr>
        <w:spacing w:after="240" w:before="240" w:line="36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VISTO:</w:t>
      </w:r>
    </w:p>
    <w:p w:rsidR="00000000" w:rsidDel="00000000" w:rsidP="00000000" w:rsidRDefault="00000000" w:rsidRPr="00000000" w14:paraId="00000007">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necesidad de implementar un nuevo sistema de cobro digital para las entradas generales a Museos, Teatros y Espacios Culturales dependientes del Municipio de General Pueyrredon, con el objetivo de modernizar y mejorar el servicio para la ciudadanía. Y;</w:t>
      </w:r>
    </w:p>
    <w:p w:rsidR="00000000" w:rsidDel="00000000" w:rsidP="00000000" w:rsidRDefault="00000000" w:rsidRPr="00000000" w14:paraId="00000008">
      <w:pPr>
        <w:spacing w:after="240" w:before="240" w:line="36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CONSIDERANDO:</w:t>
      </w:r>
    </w:p>
    <w:p w:rsidR="00000000" w:rsidDel="00000000" w:rsidP="00000000" w:rsidRDefault="00000000" w:rsidRPr="00000000" w14:paraId="00000009">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el Partido de General Pueyrredon dispone de numerosos escenarios culturales, los cuales se encuentran administrados por el Ente Municipal de Turismo y Cultura (EMTURyC).</w:t>
      </w:r>
    </w:p>
    <w:p w:rsidR="00000000" w:rsidDel="00000000" w:rsidP="00000000" w:rsidRDefault="00000000" w:rsidRPr="00000000" w14:paraId="0000000A">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entre ellos, podemos mencionar al Teatro Colón, el Museo de Arte Juan Carlos Castagnino, el Museo de Ciencias Naturales Lorenzo Scaglia, el Centro Cultural Victoria Ocampo, el Archivo Museo Histórico Roberto T. Barili, el Centro Cultural Osvaldo Soriano, el Museo José Hernández, el Museo Casa sobre el Arroyo y la Casa Mariano Mores.</w:t>
      </w:r>
    </w:p>
    <w:p w:rsidR="00000000" w:rsidDel="00000000" w:rsidP="00000000" w:rsidRDefault="00000000" w:rsidRPr="00000000" w14:paraId="0000000B">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en estos espacios se realiza una variada oferta cultural, la cual incluye espectáculos realizados tanto por artistas locales como por propuestas de carácter nacional e internacional.  </w:t>
      </w:r>
    </w:p>
    <w:p w:rsidR="00000000" w:rsidDel="00000000" w:rsidP="00000000" w:rsidRDefault="00000000" w:rsidRPr="00000000" w14:paraId="0000000C">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actualmente el único método de pago de entradas es con dinero en efectivo.</w:t>
      </w:r>
    </w:p>
    <w:p w:rsidR="00000000" w:rsidDel="00000000" w:rsidP="00000000" w:rsidRDefault="00000000" w:rsidRPr="00000000" w14:paraId="0000000D">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los pagos digitales implican el uso de dinero a través de una tarjeta de débito, tarjeta de crédito o un teléfono móvil, incluyendo transferencias y pago con “QR”, para realizar transacciones.</w:t>
      </w:r>
    </w:p>
    <w:p w:rsidR="00000000" w:rsidDel="00000000" w:rsidP="00000000" w:rsidRDefault="00000000" w:rsidRPr="00000000" w14:paraId="0000000E">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entre los beneficios de esta modalidad de pago, se encuentra proveer un mayor acceso para las personas, aumentando las posibilidad de disponer de su dinero.</w:t>
      </w:r>
    </w:p>
    <w:p w:rsidR="00000000" w:rsidDel="00000000" w:rsidP="00000000" w:rsidRDefault="00000000" w:rsidRPr="00000000" w14:paraId="0000000F">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dentro del Presupuesto de Gastos y Cálculo de Recursos correspondiente al EMTURyC para el año 2025 (Ordenanza Nº 26.626), incluido en el formulario de “Cálculo de recursos por rubro”, bajo el concepto de “Entrada General a Museos y Espacios Culturales Municipales”, el Municipio planificaba recaudar $416.674.435,00.</w:t>
      </w:r>
    </w:p>
    <w:p w:rsidR="00000000" w:rsidDel="00000000" w:rsidP="00000000" w:rsidRDefault="00000000" w:rsidRPr="00000000" w14:paraId="00000010">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bajo el actual sistema de cobro, estos recursos se percibieron en efectivo, lo cual acarrea dificultades en términos de seguimiento de los ingresos, desaliento al pago por parte de los ciudadanos interesados así como una dificultad concreta para la trazabilidad y transparencia en las arcas municipales.</w:t>
      </w:r>
    </w:p>
    <w:p w:rsidR="00000000" w:rsidDel="00000000" w:rsidP="00000000" w:rsidRDefault="00000000" w:rsidRPr="00000000" w14:paraId="00000011">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lejos de ser una preocupación nueva para esta bancada, durante el año 2022 se elevó y sancionó la Comunicación Nº 6.125, la cual tenía por objetivo solicitar “al Departamento Ejecutivo que arbitre los medios necesarios para implementar las alternativas de pagos y cobro digitales, electrónicos y responda varios puntos relacionados al cobro de entradas a los y las visitantes del Museo de Ciencias Naturales Lorenzo Scaglia”.</w:t>
      </w:r>
    </w:p>
    <w:p w:rsidR="00000000" w:rsidDel="00000000" w:rsidP="00000000" w:rsidRDefault="00000000" w:rsidRPr="00000000" w14:paraId="00000012">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desde la fecha de sanción del citado proyecto acaecida el 29 de noviembre del 2022, han transcurrido 1134 días, careciendo al momento de elevación de la presente, de una respuesta por parte del Departamento Ejecutivo sobre el tema. </w:t>
      </w:r>
    </w:p>
    <w:p w:rsidR="00000000" w:rsidDel="00000000" w:rsidP="00000000" w:rsidRDefault="00000000" w:rsidRPr="00000000" w14:paraId="00000013">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esta problemática se sostiene en el tiempo, por lo que se considera necesario avanzar hacia un sistema que promueva la modernización y fomente un mejor uso de los recursos, así como una adaptación de la municipalidad a las nuevas realidades surgidas.</w:t>
      </w:r>
    </w:p>
    <w:p w:rsidR="00000000" w:rsidDel="00000000" w:rsidP="00000000" w:rsidRDefault="00000000" w:rsidRPr="00000000" w14:paraId="00000014">
      <w:pPr>
        <w:spacing w:after="240" w:before="240" w:line="36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Que el Honorable Concejo Deliberante del Partido de General Pueyrredon, tiene la responsabilidad de promover iniciativas tendientes a mejorar la calidad de vida de los ciudadanos que residen en el municipio, así como aquellos que lo visitan, entendiendo que el cuidado de las arcas públicas resulta fundamental para un mejor funcionamiento del gobierno local.</w:t>
      </w:r>
    </w:p>
    <w:p w:rsidR="00000000" w:rsidDel="00000000" w:rsidP="00000000" w:rsidRDefault="00000000" w:rsidRPr="00000000" w14:paraId="00000015">
      <w:pPr>
        <w:spacing w:after="240" w:before="240" w:line="360" w:lineRule="auto"/>
        <w:jc w:val="both"/>
        <w:rPr>
          <w:rFonts w:ascii="Arial" w:cs="Arial" w:eastAsia="Arial" w:hAnsi="Arial"/>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6">
      <w:pPr>
        <w:spacing w:after="240" w:before="24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todo lo expuesto, el </w:t>
      </w:r>
      <w:r w:rsidDel="00000000" w:rsidR="00000000" w:rsidRPr="00000000">
        <w:rPr>
          <w:rFonts w:ascii="Arial" w:cs="Arial" w:eastAsia="Arial" w:hAnsi="Arial"/>
          <w:b w:val="1"/>
          <w:bCs w:val="1"/>
          <w:sz w:val="24"/>
          <w:szCs w:val="24"/>
          <w:rtl w:val="0"/>
        </w:rPr>
        <w:t xml:space="preserve">Bloque de Concejalas y Concejales de Unión por la Patria</w:t>
      </w:r>
      <w:r w:rsidDel="00000000" w:rsidR="00000000" w:rsidRPr="00000000">
        <w:rPr>
          <w:rFonts w:ascii="Arial" w:cs="Arial" w:eastAsia="Arial" w:hAnsi="Arial"/>
          <w:sz w:val="24"/>
          <w:szCs w:val="24"/>
          <w:rtl w:val="0"/>
        </w:rPr>
        <w:t xml:space="preserve"> eleva el siguiente proyecto de:</w:t>
      </w:r>
    </w:p>
    <w:p w:rsidR="00000000" w:rsidDel="00000000" w:rsidP="00000000" w:rsidRDefault="00000000" w:rsidRPr="00000000" w14:paraId="00000017">
      <w:pPr>
        <w:spacing w:after="240" w:before="240" w:line="36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ORDENANZA</w:t>
      </w:r>
    </w:p>
    <w:p w:rsidR="00000000" w:rsidDel="00000000" w:rsidP="00000000" w:rsidRDefault="00000000" w:rsidRPr="00000000" w14:paraId="00000018">
      <w:pPr>
        <w:spacing w:after="240" w:before="24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u w:val="single"/>
          <w:rtl w:val="0"/>
        </w:rPr>
        <w:t xml:space="preserve">Artículo 1º.</w:t>
      </w:r>
      <w:r w:rsidDel="00000000" w:rsidR="00000000" w:rsidRPr="00000000">
        <w:rPr>
          <w:rFonts w:ascii="Arial" w:cs="Arial" w:eastAsia="Arial" w:hAnsi="Arial"/>
          <w:sz w:val="24"/>
          <w:szCs w:val="24"/>
          <w:rtl w:val="0"/>
        </w:rPr>
        <w:t xml:space="preserve"> Institúyase el pago digital a través de billeteras virtuales, modalidad “QR”, tarjeta de débito y tarjeta de crédito, para las entradas generales a Museos y Espacios Culturales Municipales del Partido de General Pueyrredon. </w:t>
      </w:r>
    </w:p>
    <w:p w:rsidR="00000000" w:rsidDel="00000000" w:rsidP="00000000" w:rsidRDefault="00000000" w:rsidRPr="00000000" w14:paraId="00000019">
      <w:pPr>
        <w:spacing w:after="240" w:before="24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u w:val="single"/>
          <w:rtl w:val="0"/>
        </w:rPr>
        <w:t xml:space="preserve">Artículo 2º.</w:t>
      </w:r>
      <w:r w:rsidDel="00000000" w:rsidR="00000000" w:rsidRPr="00000000">
        <w:rPr>
          <w:rFonts w:ascii="Arial" w:cs="Arial" w:eastAsia="Arial" w:hAnsi="Arial"/>
          <w:sz w:val="24"/>
          <w:szCs w:val="24"/>
          <w:rtl w:val="0"/>
        </w:rPr>
        <w:t xml:space="preserve"> Dispóngase que se encontrarán afectados a la medida establecida en el artículo precedente, los siguientes espacios administrados por el Ente Municipal de Turismo y Cultura (EMTURyC), o el que en el futuro lo reemplace:</w:t>
      </w:r>
    </w:p>
    <w:p w:rsidR="00000000" w:rsidDel="00000000" w:rsidP="00000000" w:rsidRDefault="00000000" w:rsidRPr="00000000" w14:paraId="0000001A">
      <w:pPr>
        <w:numPr>
          <w:ilvl w:val="0"/>
          <w:numId w:val="1"/>
        </w:numPr>
        <w:spacing w:after="0" w:afterAutospacing="0" w:before="24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Teatro Colón.</w:t>
      </w:r>
    </w:p>
    <w:p w:rsidR="00000000" w:rsidDel="00000000" w:rsidP="00000000" w:rsidRDefault="00000000" w:rsidRPr="00000000" w14:paraId="0000001B">
      <w:pPr>
        <w:numPr>
          <w:ilvl w:val="0"/>
          <w:numId w:val="1"/>
        </w:numPr>
        <w:spacing w:after="0" w:afterAutospacing="0" w:before="0" w:beforeAutospacing="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Museo de Arte Juan Carlos Castagnino.</w:t>
      </w:r>
    </w:p>
    <w:p w:rsidR="00000000" w:rsidDel="00000000" w:rsidP="00000000" w:rsidRDefault="00000000" w:rsidRPr="00000000" w14:paraId="0000001C">
      <w:pPr>
        <w:numPr>
          <w:ilvl w:val="0"/>
          <w:numId w:val="1"/>
        </w:numPr>
        <w:spacing w:after="0" w:afterAutospacing="0" w:before="0" w:beforeAutospacing="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Museo de Ciencias Naturales Lorenzo Scaglia.</w:t>
      </w:r>
    </w:p>
    <w:p w:rsidR="00000000" w:rsidDel="00000000" w:rsidP="00000000" w:rsidRDefault="00000000" w:rsidRPr="00000000" w14:paraId="0000001D">
      <w:pPr>
        <w:numPr>
          <w:ilvl w:val="0"/>
          <w:numId w:val="1"/>
        </w:numPr>
        <w:spacing w:after="0" w:afterAutospacing="0" w:before="0" w:beforeAutospacing="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Centro Cultural Victoria Ocampo.</w:t>
      </w:r>
    </w:p>
    <w:p w:rsidR="00000000" w:rsidDel="00000000" w:rsidP="00000000" w:rsidRDefault="00000000" w:rsidRPr="00000000" w14:paraId="0000001E">
      <w:pPr>
        <w:numPr>
          <w:ilvl w:val="0"/>
          <w:numId w:val="1"/>
        </w:numPr>
        <w:spacing w:after="0" w:afterAutospacing="0" w:before="0" w:beforeAutospacing="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Archivo Museo Histórico Roberto T. Barili.</w:t>
      </w:r>
    </w:p>
    <w:p w:rsidR="00000000" w:rsidDel="00000000" w:rsidP="00000000" w:rsidRDefault="00000000" w:rsidRPr="00000000" w14:paraId="0000001F">
      <w:pPr>
        <w:numPr>
          <w:ilvl w:val="0"/>
          <w:numId w:val="1"/>
        </w:numPr>
        <w:spacing w:after="0" w:afterAutospacing="0" w:before="0" w:beforeAutospacing="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Centro Cultural Osvaldo Soriano.</w:t>
      </w:r>
    </w:p>
    <w:p w:rsidR="00000000" w:rsidDel="00000000" w:rsidP="00000000" w:rsidRDefault="00000000" w:rsidRPr="00000000" w14:paraId="00000020">
      <w:pPr>
        <w:numPr>
          <w:ilvl w:val="0"/>
          <w:numId w:val="1"/>
        </w:numPr>
        <w:spacing w:after="0" w:afterAutospacing="0" w:before="0" w:beforeAutospacing="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Museo José Hernández.</w:t>
      </w:r>
    </w:p>
    <w:p w:rsidR="00000000" w:rsidDel="00000000" w:rsidP="00000000" w:rsidRDefault="00000000" w:rsidRPr="00000000" w14:paraId="00000021">
      <w:pPr>
        <w:numPr>
          <w:ilvl w:val="0"/>
          <w:numId w:val="1"/>
        </w:numPr>
        <w:spacing w:after="0" w:afterAutospacing="0" w:before="0" w:beforeAutospacing="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Museo Casa sobre el Arroyo.</w:t>
      </w:r>
    </w:p>
    <w:p w:rsidR="00000000" w:rsidDel="00000000" w:rsidP="00000000" w:rsidRDefault="00000000" w:rsidRPr="00000000" w14:paraId="00000022">
      <w:pPr>
        <w:numPr>
          <w:ilvl w:val="0"/>
          <w:numId w:val="1"/>
        </w:numPr>
        <w:spacing w:after="0" w:afterAutospacing="0" w:before="0" w:beforeAutospacing="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Casa Mariano Mores.</w:t>
      </w:r>
    </w:p>
    <w:p w:rsidR="00000000" w:rsidDel="00000000" w:rsidP="00000000" w:rsidRDefault="00000000" w:rsidRPr="00000000" w14:paraId="00000023">
      <w:pPr>
        <w:numPr>
          <w:ilvl w:val="0"/>
          <w:numId w:val="1"/>
        </w:numPr>
        <w:spacing w:after="240" w:before="0" w:beforeAutospacing="0" w:line="360" w:lineRule="auto"/>
        <w:ind w:left="144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Cualquier otro escenario que se incorpore a la oferta cultural del Municipio luego de sancionada la presente.</w:t>
      </w:r>
    </w:p>
    <w:p w:rsidR="00000000" w:rsidDel="00000000" w:rsidP="00000000" w:rsidRDefault="00000000" w:rsidRPr="00000000" w14:paraId="00000024">
      <w:pPr>
        <w:spacing w:after="240" w:before="24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u w:val="single"/>
          <w:rtl w:val="0"/>
        </w:rPr>
        <w:t xml:space="preserve">Artículo 3º.</w:t>
      </w:r>
      <w:r w:rsidDel="00000000" w:rsidR="00000000" w:rsidRPr="00000000">
        <w:rPr>
          <w:rFonts w:ascii="Arial" w:cs="Arial" w:eastAsia="Arial" w:hAnsi="Arial"/>
          <w:sz w:val="24"/>
          <w:szCs w:val="24"/>
          <w:rtl w:val="0"/>
        </w:rPr>
        <w:t xml:space="preserve"> Facúltase al Ente Municipal de Turismo y Cultura (EMTURyC) a suscribir los convenios que fueren necesarios, en vistas de garantizar la percepción y cobro digital en los espacios culturales a su cargo.</w:t>
      </w:r>
    </w:p>
    <w:p w:rsidR="00000000" w:rsidDel="00000000" w:rsidP="00000000" w:rsidRDefault="00000000" w:rsidRPr="00000000" w14:paraId="00000025">
      <w:pPr>
        <w:spacing w:after="240" w:before="24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u w:val="single"/>
          <w:rtl w:val="0"/>
        </w:rPr>
        <w:t xml:space="preserve">Artículo 4º.</w:t>
      </w:r>
      <w:r w:rsidDel="00000000" w:rsidR="00000000" w:rsidRPr="00000000">
        <w:rPr>
          <w:rFonts w:ascii="Arial" w:cs="Arial" w:eastAsia="Arial" w:hAnsi="Arial"/>
          <w:sz w:val="24"/>
          <w:szCs w:val="24"/>
          <w:rtl w:val="0"/>
        </w:rPr>
        <w:t xml:space="preserve"> Otórguese al Departamento Ejecutivo un plazo de 180 días corridos a partir de la sanción de esta Ordenanza, para implementar la adecuación al cobro digital en los espacios mencionados en el artículo Nº2.</w:t>
      </w:r>
    </w:p>
    <w:p w:rsidR="00000000" w:rsidDel="00000000" w:rsidP="00000000" w:rsidRDefault="00000000" w:rsidRPr="00000000" w14:paraId="00000026">
      <w:pPr>
        <w:spacing w:after="240" w:before="240" w:line="36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u w:val="single"/>
          <w:rtl w:val="0"/>
        </w:rPr>
        <w:t xml:space="preserve">Artículo 5º.</w:t>
      </w:r>
      <w:r w:rsidDel="00000000" w:rsidR="00000000" w:rsidRPr="00000000">
        <w:rPr>
          <w:rFonts w:ascii="Arial" w:cs="Arial" w:eastAsia="Arial" w:hAnsi="Arial"/>
          <w:sz w:val="24"/>
          <w:szCs w:val="24"/>
          <w:rtl w:val="0"/>
        </w:rPr>
        <w:t xml:space="preserve"> De forma.</w:t>
      </w:r>
    </w:p>
    <w:p w:rsidR="00000000" w:rsidDel="00000000" w:rsidP="00000000" w:rsidRDefault="00000000" w:rsidRPr="00000000" w14:paraId="00000027">
      <w:pPr>
        <w:spacing w:after="280" w:before="280" w:line="360" w:lineRule="auto"/>
        <w:jc w:val="both"/>
        <w:rPr>
          <w:rFonts w:ascii="Arial" w:cs="Arial" w:eastAsia="Arial" w:hAnsi="Arial"/>
          <w:b w:val="1"/>
          <w:bCs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28">
      <w:pPr>
        <w:spacing w:after="280" w:before="28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AUTORIA:</w:t>
      </w:r>
    </w:p>
    <w:p w:rsidR="00000000" w:rsidDel="00000000" w:rsidP="00000000" w:rsidRDefault="00000000" w:rsidRPr="00000000" w14:paraId="00000029">
      <w:pPr>
        <w:spacing w:after="240" w:before="28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 </w:t>
      </w:r>
    </w:p>
    <w:p w:rsidR="00000000" w:rsidDel="00000000" w:rsidP="00000000" w:rsidRDefault="00000000" w:rsidRPr="00000000" w14:paraId="0000002A">
      <w:pPr>
        <w:spacing w:after="240" w:before="280" w:line="360" w:lineRule="auto"/>
        <w:jc w:val="both"/>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02B">
      <w:pPr>
        <w:spacing w:after="240" w:before="28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 </w:t>
      </w:r>
    </w:p>
    <w:p w:rsidR="00000000" w:rsidDel="00000000" w:rsidP="00000000" w:rsidRDefault="00000000" w:rsidRPr="00000000" w14:paraId="0000002C">
      <w:pPr>
        <w:spacing w:after="240" w:before="280" w:line="360" w:lineRule="auto"/>
        <w:jc w:val="both"/>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02D">
      <w:pPr>
        <w:spacing w:after="280" w:before="28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ADHERENTES:</w:t>
      </w:r>
    </w:p>
    <w:p w:rsidR="00000000" w:rsidDel="00000000" w:rsidP="00000000" w:rsidRDefault="00000000" w:rsidRPr="00000000" w14:paraId="0000002E">
      <w:pPr>
        <w:spacing w:after="240" w:before="280"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  </w:t>
      </w:r>
    </w:p>
    <w:p w:rsidR="00000000" w:rsidDel="00000000" w:rsidP="00000000" w:rsidRDefault="00000000" w:rsidRPr="00000000" w14:paraId="0000002F">
      <w:pPr>
        <w:spacing w:before="280" w:line="36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0">
      <w:pPr>
        <w:rPr>
          <w:rFonts w:ascii="Arial" w:cs="Arial" w:eastAsia="Arial" w:hAnsi="Arial"/>
          <w:b w:val="1"/>
          <w:bCs w:val="1"/>
          <w:sz w:val="24"/>
          <w:szCs w:val="24"/>
          <w:u w:val="single"/>
        </w:rPr>
      </w:pPr>
      <w:r w:rsidDel="00000000" w:rsidR="00000000" w:rsidRPr="00000000">
        <w:rPr>
          <w:rtl w:val="0"/>
        </w:rPr>
      </w:r>
    </w:p>
    <w:sectPr>
      <w:headerReference r:id="rId7" w:type="default"/>
      <w:headerReference r:id="rId8" w:type="even"/>
      <w:pgSz w:h="20183" w:w="12240" w:orient="portrait"/>
      <w:pgMar w:bottom="1560" w:top="3261" w:left="1700" w:right="1701" w:header="283"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0" distB="0" distT="0" distL="114300" distR="114300" hidden="0" layoutInCell="1" locked="0" relativeHeight="0" simplePos="0">
          <wp:simplePos x="0" y="0"/>
          <wp:positionH relativeFrom="margin">
            <wp:posOffset>3168015</wp:posOffset>
          </wp:positionH>
          <wp:positionV relativeFrom="margin">
            <wp:posOffset>-1725307</wp:posOffset>
          </wp:positionV>
          <wp:extent cx="2686050" cy="1219200"/>
          <wp:effectExtent b="0" l="0" r="0" t="0"/>
          <wp:wrapSquare wrapText="bothSides" distB="0" distT="0" distL="114300" distR="114300"/>
          <wp:docPr descr="C:\Users\documentos\Desktop\Unión_por_la_Patria_logo_completo largo MDP BATAN izq.png" id="24" name="image2.png"/>
          <a:graphic>
            <a:graphicData uri="http://schemas.openxmlformats.org/drawingml/2006/picture">
              <pic:pic>
                <pic:nvPicPr>
                  <pic:cNvPr descr="C:\Users\documentos\Desktop\Unión_por_la_Patria_logo_completo largo MDP BATAN izq.png" id="0" name="image2.png"/>
                  <pic:cNvPicPr preferRelativeResize="0"/>
                </pic:nvPicPr>
                <pic:blipFill>
                  <a:blip r:embed="rId1"/>
                  <a:srcRect b="0" l="0" r="0" t="0"/>
                  <a:stretch>
                    <a:fillRect/>
                  </a:stretch>
                </pic:blipFill>
                <pic:spPr>
                  <a:xfrm>
                    <a:off x="0" y="0"/>
                    <a:ext cx="2686050" cy="1219200"/>
                  </a:xfrm>
                  <a:prstGeom prst="rect"/>
                  <a:ln/>
                </pic:spPr>
              </pic:pic>
            </a:graphicData>
          </a:graphic>
        </wp:anchor>
      </w:drawing>
    </w:r>
    <w:r w:rsidDel="00000000" w:rsidR="00000000" w:rsidRPr="00000000">
      <w:rPr>
        <w:rtl w:val="0"/>
      </w:rPr>
    </w:r>
  </w:p>
  <w:p w:rsidR="00000000" w:rsidDel="00000000" w:rsidP="00000000" w:rsidRDefault="00000000" w:rsidRPr="00000000" w14:paraId="00000032">
    <w:pPr>
      <w:tabs>
        <w:tab w:val="center" w:leader="none" w:pos="4252"/>
        <w:tab w:val="right" w:leader="none" w:pos="8504"/>
      </w:tabs>
      <w:spacing w:after="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-47618</wp:posOffset>
          </wp:positionH>
          <wp:positionV relativeFrom="paragraph">
            <wp:posOffset>123825</wp:posOffset>
          </wp:positionV>
          <wp:extent cx="1311275" cy="950595"/>
          <wp:effectExtent b="0" l="0" r="0" t="0"/>
          <wp:wrapSquare wrapText="bothSides" distB="0" distT="0" distL="114300" distR="114300"/>
          <wp:docPr descr="C:\Users\enrid\AppData\Local\Microsoft\Windows\INetCache\Content.Word\HCD logo vertical color.png" id="25" name="image1.png"/>
          <a:graphic>
            <a:graphicData uri="http://schemas.openxmlformats.org/drawingml/2006/picture">
              <pic:pic>
                <pic:nvPicPr>
                  <pic:cNvPr descr="C:\Users\enrid\AppData\Local\Microsoft\Windows\INetCache\Content.Word\HCD logo vertical color.png" id="0" name="image1.png"/>
                  <pic:cNvPicPr preferRelativeResize="0"/>
                </pic:nvPicPr>
                <pic:blipFill>
                  <a:blip r:embed="rId2"/>
                  <a:srcRect b="0" l="0" r="0" t="0"/>
                  <a:stretch>
                    <a:fillRect/>
                  </a:stretch>
                </pic:blipFill>
                <pic:spPr>
                  <a:xfrm>
                    <a:off x="0" y="0"/>
                    <a:ext cx="1311275" cy="950595"/>
                  </a:xfrm>
                  <a:prstGeom prst="rect"/>
                  <a:ln/>
                </pic:spPr>
              </pic:pic>
            </a:graphicData>
          </a:graphic>
        </wp:anchor>
      </w:drawing>
    </w:r>
  </w:p>
  <w:p w:rsidR="00000000" w:rsidDel="00000000" w:rsidP="00000000" w:rsidRDefault="00000000" w:rsidRPr="00000000" w14:paraId="00000033">
    <w:pPr>
      <w:tabs>
        <w:tab w:val="center" w:leader="none" w:pos="4252"/>
        <w:tab w:val="right" w:leader="none" w:pos="8504"/>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color w:val="000000"/>
      </w:rPr>
      <w:drawing>
        <wp:inline distB="0" distT="0" distL="0" distR="0">
          <wp:extent cx="5610225" cy="2543175"/>
          <wp:effectExtent b="0" l="0" r="0" t="0"/>
          <wp:docPr descr="C:\Users\documentos\Desktop\Unión_por_la_Patria_logo_completo largo MDP BATAN izq.png" id="26" name="image2.png"/>
          <a:graphic>
            <a:graphicData uri="http://schemas.openxmlformats.org/drawingml/2006/picture">
              <pic:pic>
                <pic:nvPicPr>
                  <pic:cNvPr descr="C:\Users\documentos\Desktop\Unión_por_la_Patria_logo_completo largo MDP BATAN izq.png" id="0" name="image2.png"/>
                  <pic:cNvPicPr preferRelativeResize="0"/>
                </pic:nvPicPr>
                <pic:blipFill>
                  <a:blip r:embed="rId1"/>
                  <a:srcRect b="0" l="0" r="0" t="0"/>
                  <a:stretch>
                    <a:fillRect/>
                  </a:stretch>
                </pic:blipFill>
                <pic:spPr>
                  <a:xfrm>
                    <a:off x="0" y="0"/>
                    <a:ext cx="5610225" cy="25431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normal1" w:customStyle="1">
    <w:name w:val="normal"/>
    <w:rsid w:val="00184615"/>
  </w:style>
  <w:style w:type="table" w:styleId="TableNormal" w:customStyle="1">
    <w:name w:val="Table Normal"/>
    <w:rsid w:val="00184615"/>
    <w:tblPr>
      <w:tblCellMar>
        <w:top w:w="0.0" w:type="dxa"/>
        <w:left w:w="0.0" w:type="dxa"/>
        <w:bottom w:w="0.0" w:type="dxa"/>
        <w:right w:w="0.0" w:type="dxa"/>
      </w:tblCellMar>
    </w:tblPr>
  </w:style>
  <w:style w:type="paragraph" w:styleId="normal0" w:customStyle="1">
    <w:name w:val="normal"/>
    <w:rsid w:val="00184615"/>
  </w:style>
  <w:style w:type="table" w:styleId="TableNormal0" w:customStyle="1">
    <w:name w:val="Table Normal"/>
    <w:rsid w:val="00184615"/>
    <w:tblPr>
      <w:tblCellMar>
        <w:top w:w="0.0" w:type="dxa"/>
        <w:left w:w="0.0" w:type="dxa"/>
        <w:bottom w:w="0.0" w:type="dxa"/>
        <w:right w:w="0.0" w:type="dxa"/>
      </w:tblCellMar>
    </w:tblPr>
  </w:style>
  <w:style w:type="paragraph" w:styleId="Ttulo11" w:customStyle="1">
    <w:name w:val="Título 11"/>
    <w:basedOn w:val="Normal"/>
    <w:next w:val="Normal"/>
    <w:qFormat w:val="1"/>
    <w:rsid w:val="00980A08"/>
    <w:pPr>
      <w:keepNext w:val="1"/>
      <w:keepLines w:val="1"/>
      <w:spacing w:after="120" w:before="480"/>
      <w:outlineLvl w:val="0"/>
    </w:pPr>
    <w:rPr>
      <w:b w:val="1"/>
      <w:sz w:val="48"/>
      <w:szCs w:val="48"/>
    </w:rPr>
  </w:style>
  <w:style w:type="paragraph" w:styleId="Ttulo21" w:customStyle="1">
    <w:name w:val="Título 21"/>
    <w:basedOn w:val="Normal"/>
    <w:next w:val="Normal"/>
    <w:qFormat w:val="1"/>
    <w:rsid w:val="00980A08"/>
    <w:pPr>
      <w:keepNext w:val="1"/>
      <w:keepLines w:val="1"/>
      <w:spacing w:after="80" w:before="360"/>
      <w:outlineLvl w:val="1"/>
    </w:pPr>
    <w:rPr>
      <w:b w:val="1"/>
      <w:sz w:val="36"/>
      <w:szCs w:val="36"/>
    </w:rPr>
  </w:style>
  <w:style w:type="paragraph" w:styleId="Ttulo31" w:customStyle="1">
    <w:name w:val="Título 31"/>
    <w:basedOn w:val="Normal"/>
    <w:next w:val="Normal"/>
    <w:qFormat w:val="1"/>
    <w:rsid w:val="00980A08"/>
    <w:pPr>
      <w:keepNext w:val="1"/>
      <w:keepLines w:val="1"/>
      <w:spacing w:after="80" w:before="280"/>
      <w:outlineLvl w:val="2"/>
    </w:pPr>
    <w:rPr>
      <w:b w:val="1"/>
      <w:sz w:val="28"/>
      <w:szCs w:val="28"/>
    </w:rPr>
  </w:style>
  <w:style w:type="paragraph" w:styleId="Ttulo41" w:customStyle="1">
    <w:name w:val="Título 41"/>
    <w:basedOn w:val="Normal"/>
    <w:next w:val="Normal"/>
    <w:qFormat w:val="1"/>
    <w:rsid w:val="00980A08"/>
    <w:pPr>
      <w:keepNext w:val="1"/>
      <w:keepLines w:val="1"/>
      <w:spacing w:after="40" w:before="240"/>
      <w:outlineLvl w:val="3"/>
    </w:pPr>
    <w:rPr>
      <w:b w:val="1"/>
      <w:sz w:val="24"/>
      <w:szCs w:val="24"/>
    </w:rPr>
  </w:style>
  <w:style w:type="paragraph" w:styleId="Ttulo51" w:customStyle="1">
    <w:name w:val="Título 51"/>
    <w:basedOn w:val="Normal"/>
    <w:next w:val="Normal"/>
    <w:qFormat w:val="1"/>
    <w:rsid w:val="00980A08"/>
    <w:pPr>
      <w:keepNext w:val="1"/>
      <w:keepLines w:val="1"/>
      <w:spacing w:after="40" w:before="220"/>
      <w:outlineLvl w:val="4"/>
    </w:pPr>
    <w:rPr>
      <w:b w:val="1"/>
    </w:rPr>
  </w:style>
  <w:style w:type="paragraph" w:styleId="Ttulo61" w:customStyle="1">
    <w:name w:val="Título 61"/>
    <w:basedOn w:val="Normal"/>
    <w:next w:val="Normal"/>
    <w:qFormat w:val="1"/>
    <w:rsid w:val="00980A08"/>
    <w:pPr>
      <w:keepNext w:val="1"/>
      <w:keepLines w:val="1"/>
      <w:spacing w:after="40" w:before="200"/>
      <w:outlineLvl w:val="5"/>
    </w:pPr>
    <w:rPr>
      <w:b w:val="1"/>
      <w:sz w:val="20"/>
      <w:szCs w:val="20"/>
    </w:rPr>
  </w:style>
  <w:style w:type="character" w:styleId="EncabezadoCar" w:customStyle="1">
    <w:name w:val="Encabezado Car"/>
    <w:basedOn w:val="Fuentedeprrafopredeter"/>
    <w:link w:val="Encabezado1"/>
    <w:uiPriority w:val="99"/>
    <w:qFormat w:val="1"/>
    <w:rsid w:val="00375656"/>
  </w:style>
  <w:style w:type="character" w:styleId="PiedepginaCar" w:customStyle="1">
    <w:name w:val="Pie de página Car"/>
    <w:basedOn w:val="Fuentedeprrafopredeter"/>
    <w:link w:val="Piedepgina1"/>
    <w:uiPriority w:val="99"/>
    <w:qFormat w:val="1"/>
    <w:rsid w:val="00375656"/>
  </w:style>
  <w:style w:type="paragraph" w:styleId="Textoindependiente">
    <w:name w:val="Body Text"/>
    <w:basedOn w:val="Normal"/>
    <w:rsid w:val="00980A08"/>
    <w:pPr>
      <w:spacing w:after="140" w:line="276" w:lineRule="auto"/>
    </w:pPr>
  </w:style>
  <w:style w:type="paragraph" w:styleId="Lista">
    <w:name w:val="List"/>
    <w:basedOn w:val="Textoindependiente"/>
    <w:rsid w:val="00980A08"/>
    <w:rPr>
      <w:rFonts w:cs="Arial"/>
    </w:rPr>
  </w:style>
  <w:style w:type="paragraph" w:styleId="Descripcin1" w:customStyle="1">
    <w:name w:val="Descripción1"/>
    <w:basedOn w:val="Normal"/>
    <w:qFormat w:val="1"/>
    <w:rsid w:val="00980A08"/>
    <w:pPr>
      <w:suppressLineNumbers w:val="1"/>
      <w:spacing w:after="120" w:before="120"/>
    </w:pPr>
    <w:rPr>
      <w:rFonts w:cs="Arial"/>
      <w:i w:val="1"/>
      <w:iCs w:val="1"/>
      <w:sz w:val="24"/>
      <w:szCs w:val="24"/>
    </w:rPr>
  </w:style>
  <w:style w:type="paragraph" w:styleId="ndice" w:customStyle="1">
    <w:name w:val="Índice"/>
    <w:basedOn w:val="Normal"/>
    <w:qFormat w:val="1"/>
    <w:rsid w:val="00980A08"/>
    <w:pPr>
      <w:suppressLineNumbers w:val="1"/>
    </w:pPr>
    <w:rPr>
      <w:rFonts w:cs="Arial"/>
    </w:rPr>
  </w:style>
  <w:style w:type="paragraph" w:styleId="Cabeceraypie" w:customStyle="1">
    <w:name w:val="Cabecera y pie"/>
    <w:basedOn w:val="Normal"/>
    <w:qFormat w:val="1"/>
    <w:rsid w:val="00980A08"/>
  </w:style>
  <w:style w:type="paragraph" w:styleId="Encabezado1" w:customStyle="1">
    <w:name w:val="Encabezado1"/>
    <w:basedOn w:val="Normal"/>
    <w:link w:val="EncabezadoCar"/>
    <w:uiPriority w:val="99"/>
    <w:unhideWhenUsed w:val="1"/>
    <w:rsid w:val="00375656"/>
    <w:pPr>
      <w:tabs>
        <w:tab w:val="center" w:pos="4252"/>
        <w:tab w:val="right" w:pos="8504"/>
      </w:tabs>
      <w:spacing w:after="0" w:line="240" w:lineRule="auto"/>
    </w:pPr>
  </w:style>
  <w:style w:type="paragraph" w:styleId="Piedepgina1" w:customStyle="1">
    <w:name w:val="Pie de página1"/>
    <w:basedOn w:val="Normal"/>
    <w:link w:val="PiedepginaCar"/>
    <w:uiPriority w:val="99"/>
    <w:unhideWhenUsed w:val="1"/>
    <w:rsid w:val="00375656"/>
    <w:pPr>
      <w:tabs>
        <w:tab w:val="center" w:pos="4252"/>
        <w:tab w:val="right" w:pos="8504"/>
      </w:tabs>
      <w:spacing w:after="0" w:line="240" w:lineRule="auto"/>
    </w:pPr>
  </w:style>
  <w:style w:type="paragraph" w:styleId="NormalWeb">
    <w:name w:val="Normal (Web)"/>
    <w:basedOn w:val="Normal"/>
    <w:uiPriority w:val="99"/>
    <w:unhideWhenUsed w:val="1"/>
    <w:qFormat w:val="1"/>
    <w:rsid w:val="00FE5583"/>
    <w:pPr>
      <w:spacing w:afterAutospacing="1" w:beforeAutospacing="1" w:line="240" w:lineRule="auto"/>
    </w:pPr>
    <w:rPr>
      <w:rFonts w:ascii="Times New Roman" w:cs="Times New Roman" w:eastAsia="Times New Roman" w:hAnsi="Times New Roman"/>
      <w:sz w:val="24"/>
      <w:szCs w:val="24"/>
      <w:lang w:val="es-AR"/>
    </w:rPr>
  </w:style>
  <w:style w:type="table" w:styleId="TableNormal1" w:customStyle="1">
    <w:name w:val="Table Normal"/>
    <w:rsid w:val="00980A08"/>
    <w:tblPr>
      <w:tblCellMar>
        <w:top w:w="0.0" w:type="dxa"/>
        <w:left w:w="0.0" w:type="dxa"/>
        <w:bottom w:w="0.0" w:type="dxa"/>
        <w:right w:w="0.0" w:type="dxa"/>
      </w:tblCellMar>
    </w:tblPr>
  </w:style>
  <w:style w:type="table" w:styleId="Tablaconcuadrcula">
    <w:name w:val="Table Grid"/>
    <w:basedOn w:val="Tablanormal"/>
    <w:uiPriority w:val="39"/>
    <w:rsid w:val="00BC61E1"/>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Encabezado">
    <w:name w:val="header"/>
    <w:basedOn w:val="Normal"/>
    <w:link w:val="EncabezadoCar1"/>
    <w:uiPriority w:val="99"/>
    <w:semiHidden w:val="1"/>
    <w:unhideWhenUsed w:val="1"/>
    <w:rsid w:val="002F741D"/>
    <w:pPr>
      <w:tabs>
        <w:tab w:val="center" w:pos="4252"/>
        <w:tab w:val="right" w:pos="8504"/>
      </w:tabs>
      <w:spacing w:after="0" w:line="240" w:lineRule="auto"/>
    </w:pPr>
  </w:style>
  <w:style w:type="character" w:styleId="EncabezadoCar1" w:customStyle="1">
    <w:name w:val="Encabezado Car1"/>
    <w:basedOn w:val="Fuentedeprrafopredeter"/>
    <w:link w:val="Encabezado"/>
    <w:uiPriority w:val="99"/>
    <w:semiHidden w:val="1"/>
    <w:rsid w:val="002F741D"/>
  </w:style>
  <w:style w:type="paragraph" w:styleId="Piedepgina">
    <w:name w:val="footer"/>
    <w:basedOn w:val="Normal"/>
    <w:link w:val="PiedepginaCar1"/>
    <w:uiPriority w:val="99"/>
    <w:semiHidden w:val="1"/>
    <w:unhideWhenUsed w:val="1"/>
    <w:rsid w:val="002F741D"/>
    <w:pPr>
      <w:tabs>
        <w:tab w:val="center" w:pos="4252"/>
        <w:tab w:val="right" w:pos="8504"/>
      </w:tabs>
      <w:spacing w:after="0" w:line="240" w:lineRule="auto"/>
    </w:pPr>
  </w:style>
  <w:style w:type="character" w:styleId="PiedepginaCar1" w:customStyle="1">
    <w:name w:val="Pie de página Car1"/>
    <w:basedOn w:val="Fuentedeprrafopredeter"/>
    <w:link w:val="Piedepgina"/>
    <w:uiPriority w:val="99"/>
    <w:semiHidden w:val="1"/>
    <w:rsid w:val="002F741D"/>
  </w:style>
  <w:style w:type="paragraph" w:styleId="Textodeglobo">
    <w:name w:val="Balloon Text"/>
    <w:basedOn w:val="Normal"/>
    <w:link w:val="TextodegloboCar"/>
    <w:uiPriority w:val="99"/>
    <w:semiHidden w:val="1"/>
    <w:unhideWhenUsed w:val="1"/>
    <w:rsid w:val="002F741D"/>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2F741D"/>
    <w:rPr>
      <w:rFonts w:ascii="Tahoma" w:cs="Tahoma" w:hAnsi="Tahoma"/>
      <w:sz w:val="16"/>
      <w:szCs w:val="16"/>
    </w:rPr>
  </w:style>
  <w:style w:type="paragraph" w:styleId="Prrafodelista">
    <w:name w:val="List Paragraph"/>
    <w:basedOn w:val="Normal"/>
    <w:uiPriority w:val="34"/>
    <w:qFormat w:val="1"/>
    <w:rsid w:val="00B13F7F"/>
    <w:pPr>
      <w:ind w:left="720"/>
      <w:contextualSpacing w:val="1"/>
    </w:pPr>
  </w:style>
  <w:style w:type="character" w:styleId="Hipervnculo">
    <w:name w:val="Hyperlink"/>
    <w:basedOn w:val="Fuentedeprrafopredeter"/>
    <w:uiPriority w:val="99"/>
    <w:unhideWhenUsed w:val="1"/>
    <w:rsid w:val="00191346"/>
    <w:rPr>
      <w:color w:val="0563c1"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69fyIkfu4H8GQLD4MT/I7NNpIw==">CgMxLjA4AHIhMWRMd2tsUHBJX194VTdzMzdtRWZSY3d2MHZsZnFQWWp6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2024-10-28T14:03:00Z</dcterms:created>
  <dc:creator>Enris ..</dc:creator>
</cp:coreProperties>
</file>